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563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57"/>
        <w:gridCol w:w="1063"/>
        <w:gridCol w:w="1150"/>
        <w:gridCol w:w="800"/>
        <w:gridCol w:w="736"/>
        <w:gridCol w:w="4273"/>
        <w:gridCol w:w="6271"/>
        <w:gridCol w:w="880"/>
      </w:tblGrid>
      <w:tr w14:paraId="0DBAB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608D67A">
            <w:pPr>
              <w:keepNext w:val="0"/>
              <w:keepLines w:val="0"/>
              <w:widowControl/>
              <w:suppressLineNumbers w:val="0"/>
              <w:spacing w:line="240" w:lineRule="auto"/>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呼伦贝尔市生态环境局额尔古纳市分局关于</w:t>
            </w:r>
            <w:r>
              <w:rPr>
                <w:rFonts w:hint="default" w:ascii="Times New Roman" w:hAnsi="Times New Roman" w:eastAsia="宋体" w:cs="Times New Roman"/>
                <w:b/>
                <w:bCs/>
                <w:color w:val="auto"/>
                <w:sz w:val="21"/>
                <w:szCs w:val="21"/>
                <w:u w:val="none"/>
                <w:lang w:val="en-US" w:eastAsia="zh-CN" w:bidi="ar"/>
              </w:rPr>
              <w:t>202</w:t>
            </w:r>
            <w:r>
              <w:rPr>
                <w:rFonts w:hint="eastAsia" w:ascii="Times New Roman" w:hAnsi="Times New Roman" w:eastAsia="宋体" w:cs="Times New Roman"/>
                <w:b/>
                <w:bCs/>
                <w:color w:val="auto"/>
                <w:sz w:val="21"/>
                <w:szCs w:val="21"/>
                <w:u w:val="none"/>
                <w:lang w:val="en-US" w:eastAsia="zh-CN" w:bidi="ar"/>
              </w:rPr>
              <w:t>6</w:t>
            </w:r>
            <w:r>
              <w:rPr>
                <w:rFonts w:hint="eastAsia" w:ascii="宋体" w:hAnsi="宋体" w:eastAsia="宋体" w:cs="宋体"/>
                <w:b/>
                <w:bCs/>
                <w:color w:val="auto"/>
                <w:sz w:val="21"/>
                <w:szCs w:val="21"/>
                <w:u w:val="none"/>
                <w:lang w:val="en-US" w:eastAsia="zh-CN" w:bidi="ar"/>
              </w:rPr>
              <w:t>年4</w:t>
            </w:r>
            <w:r>
              <w:rPr>
                <w:rFonts w:hint="eastAsia" w:ascii="宋体" w:hAnsi="宋体" w:eastAsia="宋体" w:cs="宋体"/>
                <w:b/>
                <w:bCs/>
                <w:color w:val="auto"/>
                <w:sz w:val="21"/>
                <w:szCs w:val="21"/>
                <w:u w:val="none"/>
                <w:lang w:val="en-US" w:eastAsia="zh-CN" w:bidi="ar"/>
              </w:rPr>
              <w:t>月28日</w:t>
            </w:r>
            <w:r>
              <w:rPr>
                <w:rFonts w:hint="eastAsia" w:ascii="宋体" w:hAnsi="宋体" w:eastAsia="宋体" w:cs="宋体"/>
                <w:b/>
                <w:bCs/>
                <w:color w:val="auto"/>
                <w:sz w:val="21"/>
                <w:szCs w:val="21"/>
                <w:u w:val="none"/>
                <w:lang w:val="en-US" w:eastAsia="zh-CN" w:bidi="ar"/>
              </w:rPr>
              <w:t>受理建设项目</w:t>
            </w:r>
            <w:bookmarkStart w:id="0" w:name="OLE_LINK1"/>
            <w:r>
              <w:rPr>
                <w:rFonts w:hint="eastAsia" w:ascii="宋体" w:hAnsi="宋体" w:eastAsia="宋体" w:cs="宋体"/>
                <w:b/>
                <w:bCs/>
                <w:color w:val="auto"/>
                <w:sz w:val="21"/>
                <w:szCs w:val="21"/>
                <w:u w:val="none"/>
                <w:lang w:val="en-US" w:eastAsia="zh-CN" w:bidi="ar"/>
              </w:rPr>
              <w:t>环评拟审批决定的公示</w:t>
            </w:r>
            <w:bookmarkEnd w:id="0"/>
          </w:p>
        </w:tc>
      </w:tr>
      <w:tr w14:paraId="382EC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79" w:hRule="atLeast"/>
        </w:trPr>
        <w:tc>
          <w:tcPr>
            <w:tcW w:w="1563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52EA49A6">
            <w:pPr>
              <w:keepNext w:val="0"/>
              <w:keepLines w:val="0"/>
              <w:widowControl/>
              <w:suppressLineNumbers w:val="0"/>
              <w:spacing w:line="240" w:lineRule="auto"/>
              <w:ind w:firstLine="420" w:firstLineChars="200"/>
              <w:jc w:val="left"/>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根据建设项目环境影响评价审批程序的有关规定，经审查，我局拟对</w:t>
            </w:r>
            <w:r>
              <w:rPr>
                <w:rFonts w:hint="default" w:ascii="Times New Roman" w:hAnsi="Times New Roman" w:eastAsia="宋体" w:cs="Times New Roman"/>
                <w:color w:val="auto"/>
                <w:sz w:val="21"/>
                <w:szCs w:val="21"/>
                <w:u w:val="none"/>
                <w:lang w:val="en-US" w:eastAsia="zh-CN" w:bidi="ar"/>
              </w:rPr>
              <w:t>202</w:t>
            </w:r>
            <w:r>
              <w:rPr>
                <w:rFonts w:hint="eastAsia" w:ascii="Times New Roman" w:hAnsi="Times New Roman" w:eastAsia="宋体" w:cs="Times New Roman"/>
                <w:color w:val="auto"/>
                <w:sz w:val="21"/>
                <w:szCs w:val="21"/>
                <w:u w:val="none"/>
                <w:lang w:val="en-US" w:eastAsia="zh-CN" w:bidi="ar"/>
              </w:rPr>
              <w:t>6</w:t>
            </w:r>
            <w:r>
              <w:rPr>
                <w:rFonts w:hint="eastAsia" w:ascii="宋体" w:hAnsi="宋体" w:eastAsia="宋体" w:cs="宋体"/>
                <w:color w:val="auto"/>
                <w:sz w:val="21"/>
                <w:szCs w:val="21"/>
                <w:u w:val="none"/>
                <w:lang w:val="en-US" w:eastAsia="zh-CN" w:bidi="ar"/>
              </w:rPr>
              <w:t>年4月28日受理的建设项目环评作出审批意见。为保证该行政许可的严肃性和公正性，现将拟通过审批的环境影响评价文件基本情况予以公示，公示期为自公示起开始</w:t>
            </w:r>
            <w:r>
              <w:rPr>
                <w:rFonts w:hint="default" w:ascii="Times New Roman" w:hAnsi="Times New Roman" w:eastAsia="宋体" w:cs="Times New Roman"/>
                <w:color w:val="auto"/>
                <w:sz w:val="21"/>
                <w:szCs w:val="21"/>
                <w:u w:val="none"/>
                <w:lang w:val="en-US" w:eastAsia="zh-CN" w:bidi="ar"/>
              </w:rPr>
              <w:t>5</w:t>
            </w:r>
            <w:r>
              <w:rPr>
                <w:rFonts w:hint="eastAsia" w:ascii="宋体" w:hAnsi="宋体" w:eastAsia="宋体" w:cs="宋体"/>
                <w:color w:val="auto"/>
                <w:sz w:val="21"/>
                <w:szCs w:val="21"/>
                <w:u w:val="none"/>
                <w:lang w:val="en-US" w:eastAsia="zh-CN" w:bidi="ar"/>
              </w:rPr>
              <w:t>个工作日。听证权利告知：依据《中华人民共和国行政许可法》，自公示起五日内申请人、利害关系人可对以下拟作出的建设项目环境影响评价文件审批意见要求听证。</w:t>
            </w:r>
            <w:r>
              <w:rPr>
                <w:rFonts w:hint="default" w:ascii="Times New Roman" w:hAnsi="Times New Roman" w:eastAsia="宋体" w:cs="Times New Roman"/>
                <w:color w:val="auto"/>
                <w:sz w:val="21"/>
                <w:szCs w:val="21"/>
                <w:u w:val="none"/>
                <w:lang w:val="en-US" w:eastAsia="zh-CN" w:bidi="ar"/>
              </w:rPr>
              <w:t xml:space="preserve">        </w:t>
            </w:r>
            <w:r>
              <w:rPr>
                <w:rFonts w:hint="default" w:ascii="Times New Roman" w:hAnsi="Times New Roman" w:eastAsia="宋体" w:cs="Times New Roman"/>
                <w:color w:val="auto"/>
                <w:sz w:val="21"/>
                <w:szCs w:val="21"/>
                <w:u w:val="none"/>
                <w:lang w:val="en-US" w:eastAsia="zh-CN" w:bidi="ar"/>
              </w:rPr>
              <w:br w:type="textWrapping"/>
            </w:r>
            <w:r>
              <w:rPr>
                <w:rFonts w:hint="eastAsia" w:ascii="宋体" w:hAnsi="宋体" w:eastAsia="宋体" w:cs="宋体"/>
                <w:color w:val="auto"/>
                <w:sz w:val="21"/>
                <w:szCs w:val="21"/>
                <w:u w:val="none"/>
                <w:lang w:val="en-US" w:eastAsia="zh-CN" w:bidi="ar"/>
              </w:rPr>
              <w:t>联系电话：</w:t>
            </w:r>
            <w:r>
              <w:rPr>
                <w:rFonts w:hint="default" w:ascii="Times New Roman" w:hAnsi="Times New Roman" w:eastAsia="宋体" w:cs="Times New Roman"/>
                <w:color w:val="auto"/>
                <w:sz w:val="21"/>
                <w:szCs w:val="21"/>
                <w:u w:val="none"/>
                <w:lang w:val="en-US" w:eastAsia="zh-CN" w:bidi="ar"/>
              </w:rPr>
              <w:t xml:space="preserve">0470-6801566 </w:t>
            </w:r>
            <w:r>
              <w:rPr>
                <w:rFonts w:hint="eastAsia" w:ascii="宋体" w:hAnsi="宋体" w:eastAsia="宋体" w:cs="宋体"/>
                <w:color w:val="auto"/>
                <w:sz w:val="21"/>
                <w:szCs w:val="21"/>
                <w:u w:val="none"/>
                <w:lang w:val="en-US" w:eastAsia="zh-CN" w:bidi="ar"/>
              </w:rPr>
              <w:t>传</w:t>
            </w:r>
            <w:r>
              <w:rPr>
                <w:rFonts w:hint="default" w:ascii="Times New Roman" w:hAnsi="Times New Roman" w:eastAsia="宋体" w:cs="Times New Roman"/>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真：</w:t>
            </w:r>
            <w:r>
              <w:rPr>
                <w:rFonts w:hint="default" w:ascii="Times New Roman" w:hAnsi="Times New Roman" w:eastAsia="宋体" w:cs="Times New Roman"/>
                <w:color w:val="auto"/>
                <w:sz w:val="21"/>
                <w:szCs w:val="21"/>
                <w:u w:val="none"/>
                <w:lang w:val="en-US" w:eastAsia="zh-CN" w:bidi="ar"/>
              </w:rPr>
              <w:t>0470-6801566</w:t>
            </w:r>
            <w:r>
              <w:rPr>
                <w:rFonts w:hint="eastAsia" w:ascii="宋体" w:hAnsi="宋体" w:eastAsia="宋体" w:cs="宋体"/>
                <w:color w:val="auto"/>
                <w:sz w:val="21"/>
                <w:szCs w:val="21"/>
                <w:u w:val="none"/>
                <w:lang w:val="en-US" w:eastAsia="zh-CN" w:bidi="ar"/>
              </w:rPr>
              <w:t>通讯地址：额尔古纳市拉布大林街道办事处</w:t>
            </w:r>
            <w:bookmarkStart w:id="2" w:name="_GoBack"/>
            <w:bookmarkEnd w:id="2"/>
            <w:r>
              <w:rPr>
                <w:rFonts w:hint="eastAsia" w:ascii="宋体" w:hAnsi="宋体" w:eastAsia="宋体" w:cs="宋体"/>
                <w:color w:val="auto"/>
                <w:sz w:val="21"/>
                <w:szCs w:val="21"/>
                <w:u w:val="none"/>
                <w:lang w:val="en-US" w:eastAsia="zh-CN" w:bidi="ar"/>
              </w:rPr>
              <w:t>额尔古纳大街</w:t>
            </w:r>
            <w:r>
              <w:rPr>
                <w:rFonts w:hint="default" w:ascii="Times New Roman" w:hAnsi="Times New Roman" w:eastAsia="宋体" w:cs="Times New Roman"/>
                <w:color w:val="auto"/>
                <w:sz w:val="21"/>
                <w:szCs w:val="21"/>
                <w:u w:val="none"/>
                <w:lang w:val="en-US" w:eastAsia="zh-CN" w:bidi="ar"/>
              </w:rPr>
              <w:t>63</w:t>
            </w:r>
            <w:r>
              <w:rPr>
                <w:rFonts w:hint="eastAsia" w:ascii="宋体" w:hAnsi="宋体" w:eastAsia="宋体" w:cs="宋体"/>
                <w:color w:val="auto"/>
                <w:sz w:val="21"/>
                <w:szCs w:val="21"/>
                <w:u w:val="none"/>
                <w:lang w:val="en-US" w:eastAsia="zh-CN" w:bidi="ar"/>
              </w:rPr>
              <w:t>号</w:t>
            </w:r>
            <w:r>
              <w:rPr>
                <w:rFonts w:hint="default" w:ascii="Times New Roman" w:hAnsi="Times New Roman" w:eastAsia="宋体" w:cs="Times New Roman"/>
                <w:color w:val="auto"/>
                <w:sz w:val="21"/>
                <w:szCs w:val="21"/>
                <w:u w:val="none"/>
                <w:lang w:val="en-US" w:eastAsia="zh-CN" w:bidi="ar"/>
              </w:rPr>
              <w:t>-</w:t>
            </w:r>
            <w:r>
              <w:rPr>
                <w:rFonts w:hint="eastAsia" w:ascii="宋体" w:hAnsi="宋体" w:eastAsia="宋体" w:cs="宋体"/>
                <w:color w:val="auto"/>
                <w:sz w:val="21"/>
                <w:szCs w:val="21"/>
                <w:u w:val="none"/>
                <w:lang w:val="en-US" w:eastAsia="zh-CN" w:bidi="ar"/>
              </w:rPr>
              <w:t>呼伦贝尔市生态环境局额尔古纳市分局</w:t>
            </w:r>
            <w:r>
              <w:rPr>
                <w:rFonts w:hint="default" w:ascii="Times New Roman" w:hAnsi="Times New Roman" w:eastAsia="宋体" w:cs="Times New Roman"/>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邮</w:t>
            </w:r>
            <w:r>
              <w:rPr>
                <w:rFonts w:hint="default" w:ascii="Times New Roman" w:hAnsi="Times New Roman" w:eastAsia="宋体" w:cs="Times New Roman"/>
                <w:color w:val="auto"/>
                <w:sz w:val="21"/>
                <w:szCs w:val="21"/>
                <w:u w:val="none"/>
                <w:lang w:val="en-US" w:eastAsia="zh-CN" w:bidi="ar"/>
              </w:rPr>
              <w:t xml:space="preserve"> </w:t>
            </w:r>
            <w:r>
              <w:rPr>
                <w:rFonts w:hint="eastAsia" w:ascii="宋体" w:hAnsi="宋体" w:eastAsia="宋体" w:cs="宋体"/>
                <w:color w:val="auto"/>
                <w:sz w:val="21"/>
                <w:szCs w:val="21"/>
                <w:u w:val="none"/>
                <w:lang w:val="en-US" w:eastAsia="zh-CN" w:bidi="ar"/>
              </w:rPr>
              <w:t>编：</w:t>
            </w:r>
            <w:r>
              <w:rPr>
                <w:rFonts w:hint="default" w:ascii="Times New Roman" w:hAnsi="Times New Roman" w:eastAsia="宋体" w:cs="Times New Roman"/>
                <w:color w:val="auto"/>
                <w:sz w:val="21"/>
                <w:szCs w:val="21"/>
                <w:u w:val="none"/>
                <w:lang w:val="en-US" w:eastAsia="zh-CN" w:bidi="ar"/>
              </w:rPr>
              <w:t>022250</w:t>
            </w:r>
          </w:p>
        </w:tc>
      </w:tr>
      <w:tr w14:paraId="19214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C82B5">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506C">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项目名称</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425FD">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建设地点</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C7D86">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建设单位</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2BAB4">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环境影响评价机构</w:t>
            </w:r>
          </w:p>
        </w:tc>
        <w:tc>
          <w:tcPr>
            <w:tcW w:w="4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594A9">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项目概况</w:t>
            </w: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759B">
            <w:pPr>
              <w:keepNext w:val="0"/>
              <w:keepLines w:val="0"/>
              <w:widowControl/>
              <w:suppressLineNumbers w:val="0"/>
              <w:spacing w:line="240" w:lineRule="auto"/>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削减生态环境影响的主要污染防治措施</w:t>
            </w: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5AC68D">
            <w:pPr>
              <w:keepNext w:val="0"/>
              <w:keepLines w:val="0"/>
              <w:widowControl/>
              <w:suppressLineNumbers w:val="0"/>
              <w:spacing w:line="240" w:lineRule="auto"/>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公众参与情况</w:t>
            </w:r>
          </w:p>
        </w:tc>
      </w:tr>
      <w:tr w14:paraId="5BB6A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95" w:hRule="atLeast"/>
        </w:trPr>
        <w:tc>
          <w:tcPr>
            <w:tcW w:w="4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5B5C2">
            <w:pPr>
              <w:keepNext w:val="0"/>
              <w:keepLines w:val="0"/>
              <w:widowControl/>
              <w:suppressLineNumbers w:val="0"/>
              <w:spacing w:line="240" w:lineRule="auto"/>
              <w:jc w:val="center"/>
              <w:textAlignment w:val="center"/>
              <w:rPr>
                <w:rFonts w:hint="default" w:ascii="Times New Roman" w:hAnsi="Times New Roman" w:eastAsia="宋体" w:cs="Times New Roman"/>
                <w:i w:val="0"/>
                <w:iCs w:val="0"/>
                <w:color w:val="000000"/>
                <w:sz w:val="21"/>
                <w:szCs w:val="21"/>
                <w:u w:val="none"/>
              </w:rPr>
            </w:pPr>
            <w:bookmarkStart w:id="1" w:name="OLE_LINK2" w:colFirst="1" w:colLast="2"/>
            <w:r>
              <w:rPr>
                <w:rFonts w:hint="default" w:ascii="Times New Roman" w:hAnsi="Times New Roman" w:eastAsia="宋体" w:cs="Times New Roman"/>
                <w:i w:val="0"/>
                <w:iCs w:val="0"/>
                <w:color w:val="000000"/>
                <w:kern w:val="0"/>
                <w:sz w:val="21"/>
                <w:szCs w:val="21"/>
                <w:u w:val="none"/>
                <w:lang w:val="en-US" w:eastAsia="zh-CN" w:bidi="ar"/>
              </w:rPr>
              <w:t>1</w:t>
            </w:r>
          </w:p>
        </w:tc>
        <w:tc>
          <w:tcPr>
            <w:tcW w:w="10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94EDA">
            <w:pPr>
              <w:spacing w:line="240" w:lineRule="auto"/>
              <w:jc w:val="center"/>
              <w:rPr>
                <w:rFonts w:hint="eastAsia" w:ascii="Times New Roman" w:hAnsi="Times New Roman" w:eastAsia="宋体" w:cs="Times New Roman"/>
                <w:i w:val="0"/>
                <w:iCs w:val="0"/>
                <w:color w:val="000000"/>
                <w:sz w:val="21"/>
                <w:szCs w:val="21"/>
                <w:u w:val="none"/>
                <w:lang w:eastAsia="zh-CN"/>
              </w:rPr>
            </w:pPr>
            <w:r>
              <w:rPr>
                <w:rFonts w:hint="eastAsia"/>
                <w:sz w:val="21"/>
                <w:szCs w:val="21"/>
              </w:rPr>
              <w:t>额尔古纳市潮中至上护林公路</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1389D">
            <w:pPr>
              <w:spacing w:line="240" w:lineRule="auto"/>
              <w:jc w:val="center"/>
              <w:rPr>
                <w:rFonts w:hint="default" w:ascii="宋体" w:hAnsi="宋体" w:eastAsia="宋体" w:cs="宋体"/>
                <w:i w:val="0"/>
                <w:iCs w:val="0"/>
                <w:color w:val="000000"/>
                <w:sz w:val="21"/>
                <w:szCs w:val="21"/>
                <w:u w:val="none"/>
                <w:lang w:val="en-US"/>
              </w:rPr>
            </w:pPr>
            <w:r>
              <w:rPr>
                <w:rFonts w:hint="eastAsia"/>
                <w:sz w:val="21"/>
                <w:szCs w:val="21"/>
              </w:rPr>
              <w:t>内蒙古自治区呼伦贝尔市额尔古纳市三河回族乡上护林北侧</w:t>
            </w:r>
          </w:p>
        </w:tc>
        <w:tc>
          <w:tcPr>
            <w:tcW w:w="8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DE0A1">
            <w:pPr>
              <w:spacing w:line="240" w:lineRule="auto"/>
              <w:jc w:val="center"/>
              <w:rPr>
                <w:rFonts w:hint="eastAsia" w:ascii="宋体" w:hAnsi="宋体" w:eastAsia="宋体" w:cs="宋体"/>
                <w:i w:val="0"/>
                <w:iCs w:val="0"/>
                <w:color w:val="000000"/>
                <w:sz w:val="21"/>
                <w:szCs w:val="21"/>
                <w:u w:val="none"/>
              </w:rPr>
            </w:pPr>
            <w:r>
              <w:rPr>
                <w:rFonts w:hint="eastAsia"/>
                <w:sz w:val="21"/>
                <w:szCs w:val="21"/>
              </w:rPr>
              <w:t>额尔古纳市交通运输局</w:t>
            </w:r>
          </w:p>
        </w:tc>
        <w:tc>
          <w:tcPr>
            <w:tcW w:w="7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6365B0">
            <w:pPr>
              <w:keepNext w:val="0"/>
              <w:keepLines w:val="0"/>
              <w:widowControl/>
              <w:suppressLineNumbers w:val="0"/>
              <w:spacing w:line="240" w:lineRule="auto"/>
              <w:jc w:val="center"/>
              <w:textAlignment w:val="center"/>
              <w:rPr>
                <w:rFonts w:hint="default" w:ascii="宋体" w:hAnsi="宋体" w:eastAsia="宋体" w:cs="宋体"/>
                <w:i w:val="0"/>
                <w:iCs w:val="0"/>
                <w:color w:val="000000"/>
                <w:sz w:val="21"/>
                <w:szCs w:val="21"/>
                <w:u w:val="none"/>
                <w:lang w:val="en-US"/>
              </w:rPr>
            </w:pPr>
            <w:r>
              <w:rPr>
                <w:rFonts w:hint="eastAsia" w:ascii="Times New Roman" w:hAnsi="Times New Roman" w:cs="Times New Roman" w:eastAsiaTheme="majorEastAsia"/>
                <w:sz w:val="21"/>
                <w:szCs w:val="21"/>
                <w:lang w:val="en-US" w:eastAsia="zh-CN"/>
              </w:rPr>
              <w:t>吉林省云鹤环保科技有限公司</w:t>
            </w:r>
          </w:p>
        </w:tc>
        <w:tc>
          <w:tcPr>
            <w:tcW w:w="4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259EB">
            <w:pPr>
              <w:adjustRightInd w:val="0"/>
              <w:snapToGrid w:val="0"/>
              <w:spacing w:line="240" w:lineRule="auto"/>
              <w:ind w:firstLine="420" w:firstLineChars="200"/>
              <w:rPr>
                <w:rFonts w:hint="eastAsia"/>
                <w:kern w:val="0"/>
                <w:sz w:val="21"/>
                <w:szCs w:val="21"/>
                <w:u w:val="none"/>
              </w:rPr>
            </w:pPr>
            <w:r>
              <w:rPr>
                <w:kern w:val="0"/>
                <w:sz w:val="21"/>
                <w:szCs w:val="21"/>
                <w:u w:val="none"/>
              </w:rPr>
              <w:t>本项目</w:t>
            </w:r>
            <w:r>
              <w:rPr>
                <w:rFonts w:hint="eastAsia"/>
                <w:kern w:val="0"/>
                <w:sz w:val="21"/>
                <w:szCs w:val="21"/>
                <w:u w:val="none"/>
              </w:rPr>
              <w:t>公路等级为三级公路，</w:t>
            </w:r>
            <w:r>
              <w:rPr>
                <w:kern w:val="0"/>
                <w:sz w:val="21"/>
                <w:szCs w:val="21"/>
                <w:u w:val="none"/>
              </w:rPr>
              <w:t>路线全长</w:t>
            </w:r>
            <w:r>
              <w:rPr>
                <w:rFonts w:hint="eastAsia"/>
                <w:kern w:val="0"/>
                <w:sz w:val="21"/>
                <w:szCs w:val="21"/>
                <w:u w:val="none"/>
              </w:rPr>
              <w:t>17.923</w:t>
            </w:r>
            <w:r>
              <w:rPr>
                <w:kern w:val="0"/>
                <w:sz w:val="21"/>
                <w:szCs w:val="21"/>
                <w:u w:val="none"/>
              </w:rPr>
              <w:t>km，利用</w:t>
            </w:r>
            <w:r>
              <w:rPr>
                <w:rFonts w:hint="eastAsia"/>
                <w:kern w:val="0"/>
                <w:sz w:val="21"/>
                <w:szCs w:val="21"/>
                <w:u w:val="none"/>
              </w:rPr>
              <w:t>现有公</w:t>
            </w:r>
            <w:r>
              <w:rPr>
                <w:kern w:val="0"/>
                <w:sz w:val="21"/>
                <w:szCs w:val="21"/>
                <w:u w:val="none"/>
              </w:rPr>
              <w:t>路</w:t>
            </w:r>
            <w:r>
              <w:rPr>
                <w:rFonts w:hint="eastAsia"/>
                <w:kern w:val="0"/>
                <w:sz w:val="21"/>
                <w:szCs w:val="21"/>
                <w:u w:val="none"/>
              </w:rPr>
              <w:t>进行</w:t>
            </w:r>
            <w:r>
              <w:rPr>
                <w:rFonts w:hint="eastAsia"/>
                <w:kern w:val="0"/>
                <w:sz w:val="21"/>
                <w:szCs w:val="21"/>
                <w:u w:val="none"/>
                <w:lang w:val="en-US" w:eastAsia="zh-CN"/>
              </w:rPr>
              <w:t>建设</w:t>
            </w:r>
            <w:r>
              <w:rPr>
                <w:rFonts w:hint="eastAsia"/>
                <w:kern w:val="0"/>
                <w:sz w:val="21"/>
                <w:szCs w:val="21"/>
                <w:u w:val="none"/>
              </w:rPr>
              <w:t>。</w:t>
            </w:r>
          </w:p>
          <w:p w14:paraId="2DFDA14B">
            <w:pPr>
              <w:adjustRightInd w:val="0"/>
              <w:snapToGrid w:val="0"/>
              <w:spacing w:line="240" w:lineRule="auto"/>
              <w:ind w:firstLine="420" w:firstLineChars="200"/>
              <w:rPr>
                <w:kern w:val="0"/>
                <w:sz w:val="21"/>
                <w:szCs w:val="21"/>
                <w:u w:val="none"/>
              </w:rPr>
            </w:pPr>
            <w:r>
              <w:rPr>
                <w:rFonts w:hint="eastAsia"/>
                <w:kern w:val="0"/>
                <w:sz w:val="21"/>
                <w:szCs w:val="21"/>
                <w:u w:val="none"/>
              </w:rPr>
              <w:t>现有公路为四级公路，设计时速20km/h，单车道设计，路面宽度3.5m，路基宽度6.5m，公路途径上康一桥（小桥）和上康二桥（中桥）两座桥梁，长度分别为10m和100m，桥涵设计荷载分别为“公路-Ⅱ级”和“汽车-20级”，</w:t>
            </w:r>
            <w:r>
              <w:rPr>
                <w:kern w:val="0"/>
                <w:sz w:val="21"/>
                <w:szCs w:val="21"/>
                <w:u w:val="none"/>
              </w:rPr>
              <w:t>路面结构为</w:t>
            </w:r>
            <w:r>
              <w:rPr>
                <w:rFonts w:hint="eastAsia"/>
                <w:kern w:val="0"/>
                <w:sz w:val="21"/>
                <w:szCs w:val="21"/>
                <w:u w:val="none"/>
              </w:rPr>
              <w:t>水泥</w:t>
            </w:r>
            <w:r>
              <w:rPr>
                <w:kern w:val="0"/>
                <w:sz w:val="21"/>
                <w:szCs w:val="21"/>
                <w:u w:val="none"/>
              </w:rPr>
              <w:t>混凝土路面</w:t>
            </w:r>
            <w:r>
              <w:rPr>
                <w:rFonts w:hint="eastAsia"/>
                <w:kern w:val="0"/>
                <w:sz w:val="21"/>
                <w:szCs w:val="21"/>
                <w:u w:val="none"/>
              </w:rPr>
              <w:t>，路基边坡约3~8m左右，公</w:t>
            </w:r>
            <w:r>
              <w:rPr>
                <w:kern w:val="0"/>
                <w:sz w:val="21"/>
                <w:szCs w:val="21"/>
                <w:u w:val="none"/>
              </w:rPr>
              <w:t>路占地</w:t>
            </w:r>
            <w:r>
              <w:rPr>
                <w:rFonts w:hint="eastAsia"/>
                <w:kern w:val="0"/>
                <w:sz w:val="21"/>
                <w:szCs w:val="21"/>
                <w:u w:val="none"/>
              </w:rPr>
              <w:t>面积约18.4h</w:t>
            </w:r>
            <w:r>
              <w:rPr>
                <w:kern w:val="0"/>
                <w:sz w:val="21"/>
                <w:szCs w:val="21"/>
                <w:u w:val="none"/>
              </w:rPr>
              <w:t>m</w:t>
            </w:r>
            <w:r>
              <w:rPr>
                <w:kern w:val="0"/>
                <w:sz w:val="21"/>
                <w:szCs w:val="21"/>
                <w:u w:val="none"/>
                <w:vertAlign w:val="superscript"/>
              </w:rPr>
              <w:t>2</w:t>
            </w:r>
            <w:r>
              <w:rPr>
                <w:kern w:val="0"/>
                <w:sz w:val="21"/>
                <w:szCs w:val="21"/>
                <w:u w:val="none"/>
              </w:rPr>
              <w:t>。</w:t>
            </w:r>
          </w:p>
          <w:p w14:paraId="74852D71">
            <w:pPr>
              <w:adjustRightInd w:val="0"/>
              <w:snapToGrid w:val="0"/>
              <w:spacing w:line="240" w:lineRule="auto"/>
              <w:ind w:firstLine="420" w:firstLineChars="200"/>
              <w:rPr>
                <w:rFonts w:hint="eastAsia"/>
                <w:kern w:val="0"/>
                <w:sz w:val="21"/>
                <w:szCs w:val="21"/>
                <w:u w:val="none"/>
              </w:rPr>
            </w:pPr>
            <w:r>
              <w:rPr>
                <w:rFonts w:hint="eastAsia"/>
                <w:kern w:val="0"/>
                <w:sz w:val="21"/>
                <w:szCs w:val="21"/>
                <w:u w:val="none"/>
              </w:rPr>
              <w:t>该公路</w:t>
            </w:r>
            <w:r>
              <w:rPr>
                <w:rFonts w:hint="eastAsia"/>
                <w:kern w:val="0"/>
                <w:sz w:val="21"/>
                <w:szCs w:val="21"/>
                <w:u w:val="none"/>
                <w:lang w:val="en-US" w:eastAsia="zh-CN"/>
              </w:rPr>
              <w:t>建设</w:t>
            </w:r>
            <w:r>
              <w:rPr>
                <w:rFonts w:hint="eastAsia"/>
                <w:kern w:val="0"/>
                <w:sz w:val="21"/>
                <w:szCs w:val="21"/>
                <w:u w:val="none"/>
              </w:rPr>
              <w:t>完成后，公路等级变更为三</w:t>
            </w:r>
            <w:r>
              <w:rPr>
                <w:kern w:val="0"/>
                <w:sz w:val="21"/>
                <w:szCs w:val="21"/>
                <w:u w:val="none"/>
              </w:rPr>
              <w:t>级，</w:t>
            </w:r>
            <w:r>
              <w:rPr>
                <w:rFonts w:hint="eastAsia"/>
                <w:kern w:val="0"/>
                <w:sz w:val="21"/>
                <w:szCs w:val="21"/>
                <w:u w:val="none"/>
              </w:rPr>
              <w:t>设计时速30km/h，双车道设计，路面宽度6.5m，</w:t>
            </w:r>
            <w:r>
              <w:rPr>
                <w:kern w:val="0"/>
                <w:sz w:val="21"/>
                <w:szCs w:val="21"/>
                <w:u w:val="none"/>
              </w:rPr>
              <w:t>路基宽度</w:t>
            </w:r>
            <w:r>
              <w:rPr>
                <w:rFonts w:hint="eastAsia"/>
                <w:kern w:val="0"/>
                <w:sz w:val="21"/>
                <w:szCs w:val="21"/>
                <w:u w:val="none"/>
              </w:rPr>
              <w:t>7.5</w:t>
            </w:r>
            <w:r>
              <w:rPr>
                <w:kern w:val="0"/>
                <w:sz w:val="21"/>
                <w:szCs w:val="21"/>
                <w:u w:val="none"/>
              </w:rPr>
              <w:t>m</w:t>
            </w:r>
            <w:r>
              <w:rPr>
                <w:rFonts w:hint="eastAsia"/>
                <w:kern w:val="0"/>
                <w:sz w:val="21"/>
                <w:szCs w:val="21"/>
                <w:u w:val="none"/>
              </w:rPr>
              <w:t>，路基边坡约7.6~22.5m左右，</w:t>
            </w:r>
            <w:r>
              <w:rPr>
                <w:kern w:val="0"/>
                <w:sz w:val="21"/>
                <w:szCs w:val="21"/>
                <w:u w:val="none"/>
              </w:rPr>
              <w:t>占地</w:t>
            </w:r>
            <w:r>
              <w:rPr>
                <w:rFonts w:hint="eastAsia"/>
                <w:kern w:val="0"/>
                <w:sz w:val="21"/>
                <w:szCs w:val="21"/>
                <w:u w:val="none"/>
              </w:rPr>
              <w:t>面积</w:t>
            </w:r>
            <w:r>
              <w:rPr>
                <w:rFonts w:hint="eastAsia"/>
                <w:kern w:val="0"/>
                <w:sz w:val="21"/>
                <w:szCs w:val="21"/>
                <w:u w:val="none"/>
                <w:lang w:val="en-US" w:eastAsia="zh-CN"/>
              </w:rPr>
              <w:t>36.475</w:t>
            </w:r>
            <w:r>
              <w:rPr>
                <w:rFonts w:hint="eastAsia"/>
                <w:kern w:val="0"/>
                <w:sz w:val="21"/>
                <w:szCs w:val="21"/>
                <w:u w:val="none"/>
              </w:rPr>
              <w:t>h</w:t>
            </w:r>
            <w:r>
              <w:rPr>
                <w:kern w:val="0"/>
                <w:sz w:val="21"/>
                <w:szCs w:val="21"/>
                <w:u w:val="none"/>
              </w:rPr>
              <w:t>m</w:t>
            </w:r>
            <w:r>
              <w:rPr>
                <w:kern w:val="0"/>
                <w:sz w:val="21"/>
                <w:szCs w:val="21"/>
                <w:u w:val="none"/>
                <w:vertAlign w:val="superscript"/>
              </w:rPr>
              <w:t>2</w:t>
            </w:r>
            <w:r>
              <w:rPr>
                <w:kern w:val="0"/>
                <w:sz w:val="21"/>
                <w:szCs w:val="21"/>
                <w:u w:val="none"/>
              </w:rPr>
              <w:t>，</w:t>
            </w:r>
            <w:r>
              <w:rPr>
                <w:rFonts w:hint="eastAsia"/>
                <w:kern w:val="0"/>
                <w:sz w:val="21"/>
                <w:szCs w:val="21"/>
                <w:u w:val="none"/>
              </w:rPr>
              <w:t>原有水泥</w:t>
            </w:r>
            <w:r>
              <w:rPr>
                <w:kern w:val="0"/>
                <w:sz w:val="21"/>
                <w:szCs w:val="21"/>
                <w:u w:val="none"/>
              </w:rPr>
              <w:t>混凝土路面</w:t>
            </w:r>
            <w:r>
              <w:rPr>
                <w:rFonts w:hint="eastAsia"/>
                <w:kern w:val="0"/>
                <w:sz w:val="21"/>
                <w:szCs w:val="21"/>
                <w:u w:val="none"/>
              </w:rPr>
              <w:t>进行破除，建设</w:t>
            </w:r>
            <w:r>
              <w:rPr>
                <w:kern w:val="0"/>
                <w:sz w:val="21"/>
                <w:szCs w:val="21"/>
                <w:u w:val="none"/>
              </w:rPr>
              <w:t>为沥青混凝土路面。</w:t>
            </w:r>
            <w:r>
              <w:rPr>
                <w:rFonts w:hint="eastAsia"/>
                <w:kern w:val="0"/>
                <w:sz w:val="21"/>
                <w:szCs w:val="21"/>
                <w:u w:val="none"/>
              </w:rPr>
              <w:t>现有桥梁可完全利用，无需维修或重建，仅对桥面水泥进行破除，改为沥青混凝土路面。</w:t>
            </w:r>
          </w:p>
          <w:p w14:paraId="079FDF7E">
            <w:pPr>
              <w:keepNext w:val="0"/>
              <w:keepLines w:val="0"/>
              <w:widowControl/>
              <w:suppressLineNumbers w:val="0"/>
              <w:spacing w:line="240" w:lineRule="auto"/>
              <w:jc w:val="left"/>
              <w:textAlignment w:val="center"/>
              <w:rPr>
                <w:rFonts w:hint="eastAsia" w:ascii="宋体" w:hAnsi="宋体" w:cs="宋体" w:eastAsiaTheme="minorEastAsia"/>
                <w:i w:val="0"/>
                <w:iCs w:val="0"/>
                <w:color w:val="000000"/>
                <w:sz w:val="21"/>
                <w:szCs w:val="21"/>
                <w:u w:val="none"/>
                <w:lang w:val="en-US" w:eastAsia="zh-CN"/>
              </w:rPr>
            </w:pPr>
          </w:p>
        </w:tc>
        <w:tc>
          <w:tcPr>
            <w:tcW w:w="6271" w:type="dxa"/>
            <w:tcBorders>
              <w:top w:val="single" w:color="000000" w:sz="4" w:space="0"/>
              <w:left w:val="single" w:color="000000" w:sz="4" w:space="0"/>
              <w:bottom w:val="single" w:color="000000" w:sz="4" w:space="0"/>
              <w:right w:val="single" w:color="000000" w:sz="4" w:space="0"/>
            </w:tcBorders>
            <w:shd w:val="clear" w:color="auto" w:fill="auto"/>
            <w:vAlign w:val="top"/>
          </w:tcPr>
          <w:p w14:paraId="192112C4">
            <w:pPr>
              <w:pStyle w:val="19"/>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s="Times New Roman"/>
                <w:spacing w:val="-2"/>
                <w:sz w:val="21"/>
                <w:szCs w:val="21"/>
                <w:u w:val="none"/>
                <w:lang w:eastAsia="zh-CN"/>
              </w:rPr>
            </w:pPr>
            <w:r>
              <w:rPr>
                <w:rFonts w:ascii="Times New Roman" w:hAnsi="Times New Roman" w:cs="Times New Roman"/>
                <w:b/>
                <w:bCs/>
                <w:spacing w:val="-2"/>
                <w:sz w:val="21"/>
                <w:szCs w:val="21"/>
                <w:u w:val="none"/>
                <w:lang w:eastAsia="zh-CN"/>
              </w:rPr>
              <w:t>环境空气</w:t>
            </w:r>
            <w:r>
              <w:rPr>
                <w:rFonts w:hint="eastAsia" w:ascii="Times New Roman" w:hAnsi="Times New Roman" w:cs="Times New Roman"/>
                <w:b/>
                <w:bCs/>
                <w:spacing w:val="-2"/>
                <w:sz w:val="21"/>
                <w:szCs w:val="21"/>
                <w:u w:val="none"/>
                <w:lang w:eastAsia="zh-CN"/>
              </w:rPr>
              <w:t>：</w:t>
            </w:r>
            <w:r>
              <w:rPr>
                <w:rFonts w:ascii="Times New Roman" w:hAnsi="Times New Roman" w:cs="Times New Roman"/>
                <w:spacing w:val="-2"/>
                <w:sz w:val="21"/>
                <w:szCs w:val="21"/>
                <w:u w:val="none"/>
                <w:lang w:eastAsia="zh-CN"/>
              </w:rPr>
              <w:t>应加强交通管理，抽查汽车尾气排放合格证，禁止尾气超标车辆上路行驶，并要求装运含尘物料的车辆应使用蓬布盖住货物，限制不合要求的运输车辆通行，经采取措施后对周围环境影响较小。</w:t>
            </w:r>
          </w:p>
          <w:p w14:paraId="189BD39B">
            <w:pPr>
              <w:pStyle w:val="19"/>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s="Times New Roman"/>
                <w:b/>
                <w:bCs/>
                <w:spacing w:val="-2"/>
                <w:sz w:val="21"/>
                <w:szCs w:val="21"/>
                <w:u w:val="none"/>
                <w:lang w:eastAsia="zh-CN"/>
              </w:rPr>
            </w:pPr>
            <w:r>
              <w:rPr>
                <w:rFonts w:ascii="Times New Roman" w:hAnsi="Times New Roman" w:cs="Times New Roman"/>
                <w:b/>
                <w:bCs/>
                <w:spacing w:val="-2"/>
                <w:sz w:val="21"/>
                <w:szCs w:val="21"/>
                <w:u w:val="none"/>
                <w:lang w:eastAsia="zh-CN"/>
              </w:rPr>
              <w:t>水环境</w:t>
            </w:r>
            <w:r>
              <w:rPr>
                <w:rFonts w:hint="eastAsia" w:ascii="Times New Roman" w:hAnsi="Times New Roman" w:cs="Times New Roman"/>
                <w:b/>
                <w:bCs/>
                <w:spacing w:val="-2"/>
                <w:sz w:val="21"/>
                <w:szCs w:val="21"/>
                <w:u w:val="none"/>
                <w:lang w:eastAsia="zh-CN"/>
              </w:rPr>
              <w:t>：</w:t>
            </w:r>
            <w:r>
              <w:rPr>
                <w:rFonts w:ascii="Times New Roman" w:hAnsi="Times New Roman" w:cs="Times New Roman"/>
                <w:spacing w:val="-2"/>
                <w:sz w:val="21"/>
                <w:szCs w:val="21"/>
                <w:u w:val="none"/>
                <w:lang w:eastAsia="zh-CN"/>
              </w:rPr>
              <w:t>加强对道路排水系统的管理，定期维护、清理，避免沉积与堵塞，确保排水系统运行正常。</w:t>
            </w:r>
            <w:r>
              <w:rPr>
                <w:rFonts w:hint="eastAsia"/>
                <w:sz w:val="21"/>
                <w:szCs w:val="21"/>
                <w:u w:val="none"/>
                <w:lang w:val="en-US" w:eastAsia="zh-CN"/>
              </w:rPr>
              <w:t>上康一桥跨吉尔布干河，已设置了防护措施及交通标识，防止运输车辆过桥时发生交通事故，间接产生环境问题。</w:t>
            </w:r>
          </w:p>
          <w:p w14:paraId="65B01610">
            <w:pPr>
              <w:pStyle w:val="19"/>
              <w:keepNext w:val="0"/>
              <w:keepLines w:val="0"/>
              <w:pageBreakBefore w:val="0"/>
              <w:widowControl w:val="0"/>
              <w:kinsoku/>
              <w:wordWrap/>
              <w:overflowPunct/>
              <w:topLinePunct w:val="0"/>
              <w:autoSpaceDE/>
              <w:autoSpaceDN/>
              <w:bidi w:val="0"/>
              <w:adjustRightInd/>
              <w:snapToGrid/>
              <w:spacing w:line="240" w:lineRule="auto"/>
              <w:textAlignment w:val="auto"/>
              <w:rPr>
                <w:rFonts w:ascii="Times New Roman" w:hAnsi="Times New Roman" w:cs="Times New Roman"/>
                <w:spacing w:val="-2"/>
                <w:sz w:val="21"/>
                <w:szCs w:val="21"/>
                <w:u w:val="none"/>
                <w:lang w:eastAsia="zh-CN"/>
              </w:rPr>
            </w:pPr>
            <w:r>
              <w:rPr>
                <w:rFonts w:ascii="Times New Roman" w:hAnsi="Times New Roman" w:cs="Times New Roman"/>
                <w:b/>
                <w:bCs/>
                <w:spacing w:val="-2"/>
                <w:sz w:val="21"/>
                <w:szCs w:val="21"/>
                <w:u w:val="none"/>
                <w:lang w:eastAsia="zh-CN"/>
              </w:rPr>
              <w:t>噪声</w:t>
            </w:r>
            <w:r>
              <w:rPr>
                <w:rFonts w:hint="eastAsia" w:ascii="Times New Roman" w:hAnsi="Times New Roman" w:cs="Times New Roman"/>
                <w:b/>
                <w:bCs/>
                <w:spacing w:val="-2"/>
                <w:sz w:val="21"/>
                <w:szCs w:val="21"/>
                <w:u w:val="none"/>
                <w:lang w:eastAsia="zh-CN"/>
              </w:rPr>
              <w:t>：</w:t>
            </w:r>
            <w:r>
              <w:rPr>
                <w:rFonts w:ascii="Times New Roman" w:hAnsi="Times New Roman" w:cs="Times New Roman"/>
                <w:spacing w:val="-2"/>
                <w:sz w:val="21"/>
                <w:szCs w:val="21"/>
                <w:u w:val="none"/>
                <w:lang w:eastAsia="zh-CN"/>
              </w:rPr>
              <w:t>1）本项目运行后，最近敏感点距离</w:t>
            </w:r>
            <w:r>
              <w:rPr>
                <w:rFonts w:hint="eastAsia" w:ascii="Times New Roman" w:hAnsi="Times New Roman" w:cs="Times New Roman"/>
                <w:spacing w:val="-2"/>
                <w:sz w:val="21"/>
                <w:szCs w:val="21"/>
                <w:u w:val="none"/>
                <w:lang w:eastAsia="zh-CN"/>
              </w:rPr>
              <w:t>道路中心线</w:t>
            </w:r>
            <w:r>
              <w:rPr>
                <w:rFonts w:ascii="Times New Roman" w:hAnsi="Times New Roman" w:cs="Times New Roman"/>
                <w:spacing w:val="-2"/>
                <w:sz w:val="21"/>
                <w:szCs w:val="21"/>
                <w:u w:val="none"/>
                <w:lang w:eastAsia="zh-CN"/>
              </w:rPr>
              <w:t>约</w:t>
            </w:r>
            <w:r>
              <w:rPr>
                <w:rFonts w:hint="eastAsia" w:ascii="Times New Roman" w:hAnsi="Times New Roman" w:cs="Times New Roman"/>
                <w:spacing w:val="-2"/>
                <w:sz w:val="21"/>
                <w:szCs w:val="21"/>
                <w:u w:val="none"/>
                <w:lang w:eastAsia="zh-CN"/>
              </w:rPr>
              <w:t>35</w:t>
            </w:r>
            <w:r>
              <w:rPr>
                <w:rFonts w:ascii="Times New Roman" w:hAnsi="Times New Roman" w:cs="Times New Roman"/>
                <w:spacing w:val="-2"/>
                <w:sz w:val="21"/>
                <w:szCs w:val="21"/>
                <w:u w:val="none"/>
                <w:lang w:eastAsia="zh-CN"/>
              </w:rPr>
              <w:t>m，</w:t>
            </w:r>
            <w:r>
              <w:rPr>
                <w:rFonts w:hint="eastAsia" w:ascii="Times New Roman" w:hAnsi="Times New Roman" w:cs="Times New Roman"/>
                <w:spacing w:val="-2"/>
                <w:sz w:val="21"/>
                <w:szCs w:val="21"/>
                <w:u w:val="none"/>
                <w:lang w:eastAsia="zh-CN"/>
              </w:rPr>
              <w:t>建议在敏感点处设置禁鸣及减速标志等</w:t>
            </w:r>
            <w:r>
              <w:rPr>
                <w:rFonts w:ascii="Times New Roman" w:hAnsi="Times New Roman" w:cs="Times New Roman"/>
                <w:spacing w:val="-2"/>
                <w:sz w:val="21"/>
                <w:szCs w:val="21"/>
                <w:u w:val="none"/>
                <w:lang w:eastAsia="zh-CN"/>
              </w:rPr>
              <w:t>声环境减缓措施。</w:t>
            </w:r>
          </w:p>
          <w:p w14:paraId="0D4B38DE">
            <w:pPr>
              <w:pStyle w:val="19"/>
              <w:keepNext w:val="0"/>
              <w:keepLines w:val="0"/>
              <w:pageBreakBefore w:val="0"/>
              <w:widowControl w:val="0"/>
              <w:kinsoku/>
              <w:wordWrap/>
              <w:overflowPunct/>
              <w:topLinePunct w:val="0"/>
              <w:autoSpaceDE/>
              <w:autoSpaceDN/>
              <w:bidi w:val="0"/>
              <w:adjustRightInd/>
              <w:snapToGrid/>
              <w:spacing w:line="240" w:lineRule="auto"/>
              <w:ind w:firstLine="412" w:firstLineChars="200"/>
              <w:textAlignment w:val="auto"/>
              <w:rPr>
                <w:rFonts w:ascii="Times New Roman" w:hAnsi="Times New Roman" w:cs="Times New Roman"/>
                <w:spacing w:val="-2"/>
                <w:sz w:val="21"/>
                <w:szCs w:val="21"/>
                <w:u w:val="none"/>
                <w:lang w:eastAsia="zh-CN"/>
              </w:rPr>
            </w:pPr>
            <w:r>
              <w:rPr>
                <w:rFonts w:ascii="Times New Roman" w:hAnsi="Times New Roman" w:cs="Times New Roman"/>
                <w:spacing w:val="-2"/>
                <w:sz w:val="21"/>
                <w:szCs w:val="21"/>
                <w:u w:val="none"/>
                <w:lang w:eastAsia="zh-CN"/>
              </w:rPr>
              <w:t>2）在道路沿线附近完善道路的警示标志，避免和减少不必要的刹车、起动次数，降低由此引起的声级增量；</w:t>
            </w:r>
          </w:p>
          <w:p w14:paraId="06F7F1A9">
            <w:pPr>
              <w:pStyle w:val="19"/>
              <w:keepNext w:val="0"/>
              <w:keepLines w:val="0"/>
              <w:pageBreakBefore w:val="0"/>
              <w:widowControl w:val="0"/>
              <w:kinsoku/>
              <w:wordWrap/>
              <w:overflowPunct/>
              <w:topLinePunct w:val="0"/>
              <w:autoSpaceDE/>
              <w:autoSpaceDN/>
              <w:bidi w:val="0"/>
              <w:adjustRightInd/>
              <w:snapToGrid/>
              <w:spacing w:line="240" w:lineRule="auto"/>
              <w:ind w:firstLine="412" w:firstLineChars="200"/>
              <w:textAlignment w:val="auto"/>
              <w:rPr>
                <w:rFonts w:ascii="Times New Roman" w:hAnsi="Times New Roman" w:cs="Times New Roman"/>
                <w:spacing w:val="-2"/>
                <w:sz w:val="21"/>
                <w:szCs w:val="21"/>
                <w:u w:val="none"/>
                <w:lang w:eastAsia="zh-CN"/>
              </w:rPr>
            </w:pPr>
            <w:r>
              <w:rPr>
                <w:rFonts w:ascii="Times New Roman" w:hAnsi="Times New Roman" w:cs="Times New Roman"/>
                <w:spacing w:val="-2"/>
                <w:sz w:val="21"/>
                <w:szCs w:val="21"/>
                <w:u w:val="none"/>
                <w:lang w:eastAsia="zh-CN"/>
              </w:rPr>
              <w:t>3）加强道路保养维修，及时改善因沉降引起的新旧路面交接处的高差，降低路面欠佳导致的声级增量；</w:t>
            </w:r>
          </w:p>
          <w:p w14:paraId="00493E43">
            <w:pPr>
              <w:pStyle w:val="19"/>
              <w:keepNext w:val="0"/>
              <w:keepLines w:val="0"/>
              <w:pageBreakBefore w:val="0"/>
              <w:widowControl w:val="0"/>
              <w:kinsoku/>
              <w:wordWrap/>
              <w:overflowPunct/>
              <w:topLinePunct w:val="0"/>
              <w:autoSpaceDE/>
              <w:autoSpaceDN/>
              <w:bidi w:val="0"/>
              <w:adjustRightInd/>
              <w:snapToGrid/>
              <w:spacing w:line="240" w:lineRule="auto"/>
              <w:ind w:firstLine="412" w:firstLineChars="200"/>
              <w:textAlignment w:val="auto"/>
              <w:rPr>
                <w:rFonts w:ascii="Times New Roman" w:hAnsi="Times New Roman" w:cs="Times New Roman"/>
                <w:spacing w:val="-2"/>
                <w:sz w:val="21"/>
                <w:szCs w:val="21"/>
                <w:u w:val="none"/>
                <w:lang w:eastAsia="zh-CN"/>
              </w:rPr>
            </w:pPr>
            <w:r>
              <w:rPr>
                <w:rFonts w:hint="eastAsia" w:ascii="Times New Roman" w:hAnsi="Times New Roman" w:cs="Times New Roman"/>
                <w:spacing w:val="-2"/>
                <w:sz w:val="21"/>
                <w:szCs w:val="21"/>
                <w:u w:val="none"/>
                <w:lang w:eastAsia="zh-CN"/>
              </w:rPr>
              <w:t>4</w:t>
            </w:r>
            <w:r>
              <w:rPr>
                <w:rFonts w:ascii="Times New Roman" w:hAnsi="Times New Roman" w:cs="Times New Roman"/>
                <w:spacing w:val="-2"/>
                <w:sz w:val="21"/>
                <w:szCs w:val="21"/>
                <w:u w:val="none"/>
                <w:lang w:eastAsia="zh-CN"/>
              </w:rPr>
              <w:t>）采用优化结构的路面，降低轮胎与地面的摩擦声；</w:t>
            </w:r>
          </w:p>
          <w:p w14:paraId="364F29C1">
            <w:pPr>
              <w:pStyle w:val="19"/>
              <w:keepNext w:val="0"/>
              <w:keepLines w:val="0"/>
              <w:pageBreakBefore w:val="0"/>
              <w:widowControl w:val="0"/>
              <w:kinsoku/>
              <w:wordWrap/>
              <w:overflowPunct/>
              <w:topLinePunct w:val="0"/>
              <w:autoSpaceDE/>
              <w:autoSpaceDN/>
              <w:bidi w:val="0"/>
              <w:adjustRightInd/>
              <w:snapToGrid/>
              <w:spacing w:line="240" w:lineRule="auto"/>
              <w:ind w:firstLine="412" w:firstLineChars="200"/>
              <w:textAlignment w:val="auto"/>
              <w:rPr>
                <w:rFonts w:ascii="Times New Roman" w:hAnsi="Times New Roman" w:cs="Times New Roman"/>
                <w:spacing w:val="-2"/>
                <w:sz w:val="21"/>
                <w:szCs w:val="21"/>
                <w:u w:val="none"/>
                <w:lang w:eastAsia="zh-CN"/>
              </w:rPr>
            </w:pPr>
            <w:r>
              <w:rPr>
                <w:rFonts w:ascii="Times New Roman" w:hAnsi="Times New Roman" w:cs="Times New Roman"/>
                <w:spacing w:val="-2"/>
                <w:sz w:val="21"/>
                <w:szCs w:val="21"/>
                <w:u w:val="none"/>
                <w:lang w:eastAsia="zh-CN"/>
              </w:rPr>
              <w:t>在落实了上述噪声污染防治措施后，本项目营运期交通噪声对区域声环境的影响可控制在可接受范围内。</w:t>
            </w:r>
          </w:p>
          <w:p w14:paraId="63C0B5D8">
            <w:pPr>
              <w:pStyle w:val="19"/>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imes New Roman" w:hAnsi="Times New Roman" w:eastAsia="宋体" w:cs="Times New Roman"/>
                <w:spacing w:val="-2"/>
                <w:sz w:val="21"/>
                <w:szCs w:val="21"/>
                <w:u w:val="none"/>
              </w:rPr>
            </w:pPr>
            <w:r>
              <w:rPr>
                <w:rFonts w:ascii="Times New Roman" w:hAnsi="Times New Roman" w:cs="Times New Roman"/>
                <w:b/>
                <w:bCs/>
                <w:spacing w:val="-2"/>
                <w:sz w:val="21"/>
                <w:szCs w:val="21"/>
                <w:u w:val="none"/>
                <w:lang w:eastAsia="zh-CN"/>
              </w:rPr>
              <w:t>固体废物</w:t>
            </w:r>
            <w:r>
              <w:rPr>
                <w:rFonts w:hint="eastAsia" w:ascii="Times New Roman" w:hAnsi="Times New Roman" w:cs="Times New Roman"/>
                <w:b/>
                <w:bCs/>
                <w:spacing w:val="-2"/>
                <w:sz w:val="21"/>
                <w:szCs w:val="21"/>
                <w:u w:val="none"/>
                <w:lang w:eastAsia="zh-CN"/>
              </w:rPr>
              <w:t>：</w:t>
            </w:r>
            <w:r>
              <w:rPr>
                <w:rFonts w:hint="eastAsia" w:ascii="Times New Roman" w:hAnsi="Times New Roman" w:eastAsia="宋体" w:cs="Times New Roman"/>
                <w:spacing w:val="-2"/>
                <w:sz w:val="21"/>
                <w:szCs w:val="21"/>
                <w:u w:val="none"/>
                <w:lang w:val="en-US" w:eastAsia="zh-CN"/>
              </w:rPr>
              <w:t>营运期公路主要为行人行车产生的生活垃圾以及落叶，由当地环保部门进行定期清扫</w:t>
            </w:r>
            <w:r>
              <w:rPr>
                <w:rFonts w:hint="default" w:ascii="Times New Roman" w:hAnsi="Times New Roman" w:eastAsia="宋体" w:cs="Times New Roman"/>
                <w:spacing w:val="-2"/>
                <w:sz w:val="21"/>
                <w:szCs w:val="21"/>
                <w:u w:val="none"/>
              </w:rPr>
              <w:t>。</w:t>
            </w:r>
          </w:p>
          <w:p w14:paraId="0DEE967D">
            <w:pPr>
              <w:spacing w:line="240" w:lineRule="auto"/>
              <w:rPr>
                <w:rFonts w:hint="default"/>
                <w:color w:val="000000"/>
                <w:sz w:val="21"/>
                <w:szCs w:val="21"/>
                <w:lang w:val="en-US" w:eastAsia="zh-CN"/>
              </w:rPr>
            </w:pPr>
          </w:p>
        </w:tc>
        <w:tc>
          <w:tcPr>
            <w:tcW w:w="8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61FD0">
            <w:pPr>
              <w:spacing w:line="240" w:lineRule="auto"/>
              <w:jc w:val="center"/>
              <w:rPr>
                <w:rFonts w:hint="default" w:ascii="Times New Roman" w:hAnsi="Times New Roman" w:eastAsia="宋体" w:cs="Times New Roman"/>
                <w:i w:val="0"/>
                <w:iCs w:val="0"/>
                <w:color w:val="000000"/>
                <w:sz w:val="21"/>
                <w:szCs w:val="21"/>
                <w:u w:val="none"/>
              </w:rPr>
            </w:pPr>
          </w:p>
        </w:tc>
      </w:tr>
      <w:bookmarkEnd w:id="1"/>
    </w:tbl>
    <w:p w14:paraId="4122EDE8">
      <w:pPr>
        <w:pStyle w:val="10"/>
        <w:shd w:val="clear" w:color="auto" w:fill="FFFFFF"/>
        <w:spacing w:before="0" w:beforeAutospacing="0" w:after="0" w:afterAutospacing="0" w:line="420" w:lineRule="atLeast"/>
        <w:rPr>
          <w:rFonts w:ascii="Times New Roman" w:hAnsi="Times New Roman" w:cs="Times New Roman"/>
          <w:color w:val="333333"/>
          <w:sz w:val="21"/>
          <w:szCs w:val="21"/>
        </w:rPr>
      </w:pPr>
    </w:p>
    <w:sectPr>
      <w:pgSz w:w="16838" w:h="11906" w:orient="landscape"/>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script"/>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YmY0MGQ0NzhkZTY1NTAwZGQyMjljNDk3MTkxMTIwYTMifQ=="/>
    <w:docVar w:name="KSO_WPS_MARK_KEY" w:val="29697520-b35d-40ac-9cc0-c9a84a892c6b"/>
  </w:docVars>
  <w:rsids>
    <w:rsidRoot w:val="000C1E40"/>
    <w:rsid w:val="0000178C"/>
    <w:rsid w:val="00002003"/>
    <w:rsid w:val="00046875"/>
    <w:rsid w:val="00051DBC"/>
    <w:rsid w:val="00061E12"/>
    <w:rsid w:val="00084BB2"/>
    <w:rsid w:val="00085479"/>
    <w:rsid w:val="000913D1"/>
    <w:rsid w:val="0009303D"/>
    <w:rsid w:val="000A26B7"/>
    <w:rsid w:val="000A2A55"/>
    <w:rsid w:val="000C0745"/>
    <w:rsid w:val="000C1E40"/>
    <w:rsid w:val="000C2525"/>
    <w:rsid w:val="000D3C0A"/>
    <w:rsid w:val="000D7585"/>
    <w:rsid w:val="000E3704"/>
    <w:rsid w:val="000E7163"/>
    <w:rsid w:val="000F1306"/>
    <w:rsid w:val="000F47E9"/>
    <w:rsid w:val="00106879"/>
    <w:rsid w:val="00116DDB"/>
    <w:rsid w:val="00122760"/>
    <w:rsid w:val="0013128E"/>
    <w:rsid w:val="00142068"/>
    <w:rsid w:val="001464DB"/>
    <w:rsid w:val="00147C33"/>
    <w:rsid w:val="0015662E"/>
    <w:rsid w:val="001613AA"/>
    <w:rsid w:val="00185613"/>
    <w:rsid w:val="001A3E00"/>
    <w:rsid w:val="001B02AF"/>
    <w:rsid w:val="001C0303"/>
    <w:rsid w:val="001F2A20"/>
    <w:rsid w:val="001F688E"/>
    <w:rsid w:val="00232FC5"/>
    <w:rsid w:val="00233DF0"/>
    <w:rsid w:val="002375C6"/>
    <w:rsid w:val="002376C5"/>
    <w:rsid w:val="00243BB6"/>
    <w:rsid w:val="002606AE"/>
    <w:rsid w:val="00260E60"/>
    <w:rsid w:val="0027305C"/>
    <w:rsid w:val="00275CE4"/>
    <w:rsid w:val="00277EF3"/>
    <w:rsid w:val="002A453A"/>
    <w:rsid w:val="002B091F"/>
    <w:rsid w:val="002B3222"/>
    <w:rsid w:val="002C0E2D"/>
    <w:rsid w:val="002C2E6A"/>
    <w:rsid w:val="00303389"/>
    <w:rsid w:val="00311B87"/>
    <w:rsid w:val="003120DD"/>
    <w:rsid w:val="003126E8"/>
    <w:rsid w:val="0032229F"/>
    <w:rsid w:val="00330E02"/>
    <w:rsid w:val="003546C9"/>
    <w:rsid w:val="00354DAF"/>
    <w:rsid w:val="0037698B"/>
    <w:rsid w:val="00381D36"/>
    <w:rsid w:val="0038670C"/>
    <w:rsid w:val="003916C1"/>
    <w:rsid w:val="003A23D4"/>
    <w:rsid w:val="003C1186"/>
    <w:rsid w:val="003D6121"/>
    <w:rsid w:val="003E7D82"/>
    <w:rsid w:val="004066BF"/>
    <w:rsid w:val="004137B0"/>
    <w:rsid w:val="00414F13"/>
    <w:rsid w:val="004447B6"/>
    <w:rsid w:val="0046208F"/>
    <w:rsid w:val="00471CD8"/>
    <w:rsid w:val="004843AC"/>
    <w:rsid w:val="004854B4"/>
    <w:rsid w:val="00494E1D"/>
    <w:rsid w:val="004A7551"/>
    <w:rsid w:val="004C38B0"/>
    <w:rsid w:val="004D016A"/>
    <w:rsid w:val="004D6F27"/>
    <w:rsid w:val="004F1A4F"/>
    <w:rsid w:val="004F29E3"/>
    <w:rsid w:val="004F40A1"/>
    <w:rsid w:val="004F4628"/>
    <w:rsid w:val="004F509F"/>
    <w:rsid w:val="005018CF"/>
    <w:rsid w:val="00503BAF"/>
    <w:rsid w:val="005057B4"/>
    <w:rsid w:val="00507D71"/>
    <w:rsid w:val="00533E2A"/>
    <w:rsid w:val="0053689D"/>
    <w:rsid w:val="005418EE"/>
    <w:rsid w:val="00542F9E"/>
    <w:rsid w:val="00543710"/>
    <w:rsid w:val="00555355"/>
    <w:rsid w:val="00561EF2"/>
    <w:rsid w:val="0057106D"/>
    <w:rsid w:val="00580402"/>
    <w:rsid w:val="00583AC5"/>
    <w:rsid w:val="00587B9F"/>
    <w:rsid w:val="005A6728"/>
    <w:rsid w:val="005D512A"/>
    <w:rsid w:val="005D5155"/>
    <w:rsid w:val="005E5112"/>
    <w:rsid w:val="00607D8D"/>
    <w:rsid w:val="00612C4B"/>
    <w:rsid w:val="00622700"/>
    <w:rsid w:val="00626113"/>
    <w:rsid w:val="00631C84"/>
    <w:rsid w:val="006342CE"/>
    <w:rsid w:val="00643473"/>
    <w:rsid w:val="00643646"/>
    <w:rsid w:val="00647AA5"/>
    <w:rsid w:val="00653FE8"/>
    <w:rsid w:val="00656A9E"/>
    <w:rsid w:val="00673E14"/>
    <w:rsid w:val="00684A97"/>
    <w:rsid w:val="00687212"/>
    <w:rsid w:val="00694019"/>
    <w:rsid w:val="006A3014"/>
    <w:rsid w:val="006A6BC4"/>
    <w:rsid w:val="006C085F"/>
    <w:rsid w:val="00700FA6"/>
    <w:rsid w:val="0070243B"/>
    <w:rsid w:val="00706820"/>
    <w:rsid w:val="007140BB"/>
    <w:rsid w:val="007248B6"/>
    <w:rsid w:val="00726846"/>
    <w:rsid w:val="00740BD1"/>
    <w:rsid w:val="00780DCD"/>
    <w:rsid w:val="007828C0"/>
    <w:rsid w:val="007921C3"/>
    <w:rsid w:val="00792848"/>
    <w:rsid w:val="00793247"/>
    <w:rsid w:val="00794B00"/>
    <w:rsid w:val="007B7CAF"/>
    <w:rsid w:val="007C0576"/>
    <w:rsid w:val="007D6B0A"/>
    <w:rsid w:val="007E2A96"/>
    <w:rsid w:val="0080163C"/>
    <w:rsid w:val="008100CA"/>
    <w:rsid w:val="008125A3"/>
    <w:rsid w:val="00826F74"/>
    <w:rsid w:val="008366BA"/>
    <w:rsid w:val="008409CC"/>
    <w:rsid w:val="00842B13"/>
    <w:rsid w:val="00855571"/>
    <w:rsid w:val="00863CB6"/>
    <w:rsid w:val="00880E77"/>
    <w:rsid w:val="00885BA9"/>
    <w:rsid w:val="00897743"/>
    <w:rsid w:val="008B7840"/>
    <w:rsid w:val="008D0837"/>
    <w:rsid w:val="008F5E1B"/>
    <w:rsid w:val="00902613"/>
    <w:rsid w:val="0091406B"/>
    <w:rsid w:val="00920FAE"/>
    <w:rsid w:val="009274C9"/>
    <w:rsid w:val="00936C10"/>
    <w:rsid w:val="00946678"/>
    <w:rsid w:val="00970164"/>
    <w:rsid w:val="009771CD"/>
    <w:rsid w:val="00991657"/>
    <w:rsid w:val="0099187B"/>
    <w:rsid w:val="00997FFD"/>
    <w:rsid w:val="009B7016"/>
    <w:rsid w:val="009C3CC0"/>
    <w:rsid w:val="009E65D6"/>
    <w:rsid w:val="009F07E3"/>
    <w:rsid w:val="009F5D48"/>
    <w:rsid w:val="00A02C58"/>
    <w:rsid w:val="00A156BD"/>
    <w:rsid w:val="00A23C6D"/>
    <w:rsid w:val="00A35CFC"/>
    <w:rsid w:val="00A37707"/>
    <w:rsid w:val="00A37D66"/>
    <w:rsid w:val="00A429D4"/>
    <w:rsid w:val="00A43839"/>
    <w:rsid w:val="00A7297F"/>
    <w:rsid w:val="00A844E4"/>
    <w:rsid w:val="00AA5F4B"/>
    <w:rsid w:val="00AB2C5F"/>
    <w:rsid w:val="00AD7817"/>
    <w:rsid w:val="00AF0AFA"/>
    <w:rsid w:val="00AF2406"/>
    <w:rsid w:val="00B118CF"/>
    <w:rsid w:val="00B478EF"/>
    <w:rsid w:val="00B47A56"/>
    <w:rsid w:val="00B71E48"/>
    <w:rsid w:val="00B737B2"/>
    <w:rsid w:val="00B74278"/>
    <w:rsid w:val="00B77C51"/>
    <w:rsid w:val="00B850DA"/>
    <w:rsid w:val="00B86D3D"/>
    <w:rsid w:val="00B979C6"/>
    <w:rsid w:val="00BA3DCA"/>
    <w:rsid w:val="00BB1BCE"/>
    <w:rsid w:val="00BB484F"/>
    <w:rsid w:val="00BE1BB4"/>
    <w:rsid w:val="00BF14FE"/>
    <w:rsid w:val="00C020C4"/>
    <w:rsid w:val="00C03C8F"/>
    <w:rsid w:val="00C072B5"/>
    <w:rsid w:val="00C155F6"/>
    <w:rsid w:val="00C32DD5"/>
    <w:rsid w:val="00C33F60"/>
    <w:rsid w:val="00C42815"/>
    <w:rsid w:val="00C55167"/>
    <w:rsid w:val="00C56407"/>
    <w:rsid w:val="00C72E0D"/>
    <w:rsid w:val="00C734B5"/>
    <w:rsid w:val="00C82C50"/>
    <w:rsid w:val="00C8704C"/>
    <w:rsid w:val="00C94389"/>
    <w:rsid w:val="00C95B8B"/>
    <w:rsid w:val="00CA2A26"/>
    <w:rsid w:val="00CA3162"/>
    <w:rsid w:val="00CA4A78"/>
    <w:rsid w:val="00CB357C"/>
    <w:rsid w:val="00CC0824"/>
    <w:rsid w:val="00CD1B75"/>
    <w:rsid w:val="00CE7518"/>
    <w:rsid w:val="00D05198"/>
    <w:rsid w:val="00D24302"/>
    <w:rsid w:val="00D269FF"/>
    <w:rsid w:val="00D35055"/>
    <w:rsid w:val="00D3611E"/>
    <w:rsid w:val="00D4491B"/>
    <w:rsid w:val="00D571ED"/>
    <w:rsid w:val="00D75AF6"/>
    <w:rsid w:val="00D90A62"/>
    <w:rsid w:val="00D968A4"/>
    <w:rsid w:val="00DA0085"/>
    <w:rsid w:val="00DA4188"/>
    <w:rsid w:val="00DA4769"/>
    <w:rsid w:val="00DA6264"/>
    <w:rsid w:val="00DB0F3F"/>
    <w:rsid w:val="00DB0FA7"/>
    <w:rsid w:val="00DC1090"/>
    <w:rsid w:val="00DC3645"/>
    <w:rsid w:val="00DC3888"/>
    <w:rsid w:val="00DD4499"/>
    <w:rsid w:val="00DD4AAC"/>
    <w:rsid w:val="00DE3D34"/>
    <w:rsid w:val="00DE5213"/>
    <w:rsid w:val="00DE5702"/>
    <w:rsid w:val="00DF01ED"/>
    <w:rsid w:val="00DF4553"/>
    <w:rsid w:val="00E02FC4"/>
    <w:rsid w:val="00E31E21"/>
    <w:rsid w:val="00E50104"/>
    <w:rsid w:val="00E5012C"/>
    <w:rsid w:val="00E5313B"/>
    <w:rsid w:val="00E639E9"/>
    <w:rsid w:val="00E647F1"/>
    <w:rsid w:val="00E6514D"/>
    <w:rsid w:val="00E825A7"/>
    <w:rsid w:val="00E862A5"/>
    <w:rsid w:val="00E964A5"/>
    <w:rsid w:val="00EA21C1"/>
    <w:rsid w:val="00ED030C"/>
    <w:rsid w:val="00ED41FA"/>
    <w:rsid w:val="00EE49CB"/>
    <w:rsid w:val="00F03E34"/>
    <w:rsid w:val="00F17CD8"/>
    <w:rsid w:val="00F21D4C"/>
    <w:rsid w:val="00F3267B"/>
    <w:rsid w:val="00F3539A"/>
    <w:rsid w:val="00F440C0"/>
    <w:rsid w:val="00F46C9D"/>
    <w:rsid w:val="00F57689"/>
    <w:rsid w:val="00F60203"/>
    <w:rsid w:val="00F63E95"/>
    <w:rsid w:val="00F66927"/>
    <w:rsid w:val="00F74FCD"/>
    <w:rsid w:val="00F830D7"/>
    <w:rsid w:val="00F857BA"/>
    <w:rsid w:val="00F866F9"/>
    <w:rsid w:val="00F8760B"/>
    <w:rsid w:val="00F97905"/>
    <w:rsid w:val="00FA3F8B"/>
    <w:rsid w:val="00FA7640"/>
    <w:rsid w:val="00FB1E2B"/>
    <w:rsid w:val="00FB750E"/>
    <w:rsid w:val="00FC7958"/>
    <w:rsid w:val="00FD0040"/>
    <w:rsid w:val="00FD23A9"/>
    <w:rsid w:val="00FD6778"/>
    <w:rsid w:val="00FD6C96"/>
    <w:rsid w:val="015679D0"/>
    <w:rsid w:val="02397D9B"/>
    <w:rsid w:val="027C0AF3"/>
    <w:rsid w:val="066D0FB5"/>
    <w:rsid w:val="0C965A09"/>
    <w:rsid w:val="14730634"/>
    <w:rsid w:val="14D06153"/>
    <w:rsid w:val="1728739A"/>
    <w:rsid w:val="17606DE5"/>
    <w:rsid w:val="1C1222ED"/>
    <w:rsid w:val="29D94C15"/>
    <w:rsid w:val="2B1673AF"/>
    <w:rsid w:val="2CD72E09"/>
    <w:rsid w:val="2E070155"/>
    <w:rsid w:val="2EC456C9"/>
    <w:rsid w:val="36D2019E"/>
    <w:rsid w:val="3747333B"/>
    <w:rsid w:val="38B92017"/>
    <w:rsid w:val="3DCB2BE5"/>
    <w:rsid w:val="3F593C0C"/>
    <w:rsid w:val="45A309C5"/>
    <w:rsid w:val="4EFB083B"/>
    <w:rsid w:val="51A0595C"/>
    <w:rsid w:val="54E413A6"/>
    <w:rsid w:val="59A062F0"/>
    <w:rsid w:val="5D2D7A5B"/>
    <w:rsid w:val="63E267B3"/>
    <w:rsid w:val="67EB7247"/>
    <w:rsid w:val="68D6514A"/>
    <w:rsid w:val="68F62348"/>
    <w:rsid w:val="6DD67C11"/>
    <w:rsid w:val="71275556"/>
    <w:rsid w:val="72A03570"/>
    <w:rsid w:val="72FA24A4"/>
    <w:rsid w:val="78DF32BA"/>
    <w:rsid w:val="794744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1"/>
    <w:semiHidden/>
    <w:unhideWhenUsed/>
    <w:qFormat/>
    <w:uiPriority w:val="99"/>
    <w:rPr>
      <w:sz w:val="18"/>
      <w:szCs w:val="18"/>
    </w:r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0"/>
    <w:pPr>
      <w:ind w:left="0" w:leftChars="0"/>
    </w:pPr>
    <w:rPr>
      <w:rFonts w:ascii="Times New Roman" w:hAnsi="Times New Roman"/>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qFormat/>
    <w:uiPriority w:val="99"/>
    <w:rPr>
      <w:color w:val="0563C1" w:themeColor="hyperlink"/>
      <w:u w:val="single"/>
    </w:rPr>
  </w:style>
  <w:style w:type="paragraph" w:customStyle="1" w:styleId="10">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1">
    <w:name w:val="批注框文本 Char"/>
    <w:basedOn w:val="8"/>
    <w:link w:val="2"/>
    <w:semiHidden/>
    <w:qFormat/>
    <w:uiPriority w:val="99"/>
    <w:rPr>
      <w:sz w:val="18"/>
      <w:szCs w:val="18"/>
    </w:rPr>
  </w:style>
  <w:style w:type="character" w:customStyle="1" w:styleId="12">
    <w:name w:val="页眉 Char"/>
    <w:basedOn w:val="8"/>
    <w:link w:val="4"/>
    <w:qFormat/>
    <w:uiPriority w:val="99"/>
    <w:rPr>
      <w:sz w:val="18"/>
      <w:szCs w:val="18"/>
    </w:rPr>
  </w:style>
  <w:style w:type="character" w:customStyle="1" w:styleId="13">
    <w:name w:val="页脚 Char"/>
    <w:basedOn w:val="8"/>
    <w:link w:val="3"/>
    <w:qFormat/>
    <w:uiPriority w:val="99"/>
    <w:rPr>
      <w:sz w:val="18"/>
      <w:szCs w:val="18"/>
    </w:rPr>
  </w:style>
  <w:style w:type="paragraph" w:styleId="14">
    <w:name w:val="List Paragraph"/>
    <w:basedOn w:val="1"/>
    <w:qFormat/>
    <w:uiPriority w:val="34"/>
    <w:pPr>
      <w:spacing w:before="186"/>
      <w:ind w:left="2557" w:hanging="853"/>
    </w:pPr>
    <w:rPr>
      <w:rFonts w:ascii="宋体" w:hAnsi="宋体" w:eastAsia="宋体" w:cs="宋体"/>
      <w:szCs w:val="24"/>
      <w:lang w:val="zh-CN" w:bidi="zh-CN"/>
    </w:rPr>
  </w:style>
  <w:style w:type="character" w:customStyle="1" w:styleId="15">
    <w:name w:val="font41"/>
    <w:basedOn w:val="8"/>
    <w:qFormat/>
    <w:uiPriority w:val="0"/>
    <w:rPr>
      <w:rFonts w:hint="default" w:ascii="Times New Roman" w:hAnsi="Times New Roman" w:cs="Times New Roman"/>
      <w:b/>
      <w:bCs/>
      <w:color w:val="000000"/>
      <w:sz w:val="24"/>
      <w:szCs w:val="24"/>
      <w:u w:val="none"/>
    </w:rPr>
  </w:style>
  <w:style w:type="character" w:customStyle="1" w:styleId="16">
    <w:name w:val="font31"/>
    <w:basedOn w:val="8"/>
    <w:qFormat/>
    <w:uiPriority w:val="0"/>
    <w:rPr>
      <w:rFonts w:hint="eastAsia" w:ascii="宋体" w:hAnsi="宋体" w:eastAsia="宋体" w:cs="宋体"/>
      <w:b/>
      <w:bCs/>
      <w:color w:val="000000"/>
      <w:sz w:val="24"/>
      <w:szCs w:val="24"/>
      <w:u w:val="none"/>
    </w:rPr>
  </w:style>
  <w:style w:type="character" w:customStyle="1" w:styleId="17">
    <w:name w:val="font21"/>
    <w:basedOn w:val="8"/>
    <w:qFormat/>
    <w:uiPriority w:val="0"/>
    <w:rPr>
      <w:rFonts w:hint="default" w:ascii="Times New Roman" w:hAnsi="Times New Roman" w:cs="Times New Roman"/>
      <w:color w:val="000000"/>
      <w:sz w:val="24"/>
      <w:szCs w:val="24"/>
      <w:u w:val="none"/>
    </w:rPr>
  </w:style>
  <w:style w:type="character" w:customStyle="1" w:styleId="18">
    <w:name w:val="font51"/>
    <w:basedOn w:val="8"/>
    <w:qFormat/>
    <w:uiPriority w:val="0"/>
    <w:rPr>
      <w:rFonts w:hint="eastAsia" w:ascii="宋体" w:hAnsi="宋体" w:eastAsia="宋体" w:cs="宋体"/>
      <w:color w:val="000000"/>
      <w:sz w:val="24"/>
      <w:szCs w:val="24"/>
      <w:u w:val="none"/>
    </w:rPr>
  </w:style>
  <w:style w:type="paragraph" w:customStyle="1" w:styleId="19">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HP</Company>
  <Pages>1</Pages>
  <Words>1109</Words>
  <Characters>1207</Characters>
  <Lines>4</Lines>
  <Paragraphs>1</Paragraphs>
  <TotalTime>1</TotalTime>
  <ScaleCrop>false</ScaleCrop>
  <LinksUpToDate>false</LinksUpToDate>
  <CharactersWithSpaces>1220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2017-05-03T02:43:00Z</dcterms:created>
  <dc:creator>Scar</dc:creator>
  <cp:lastModifiedBy>然后呢ne</cp:lastModifiedBy>
  <cp:lastPrinted>2017-05-03T03:07:00Z</cp:lastPrinted>
  <dcterms:modified xsi:type="dcterms:W3CDTF">2026-05-20T02:15:40Z</dcterms:modified>
  <cp:revision>158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81519F9B9D794AECA45B5DC55421A2F3_12</vt:lpwstr>
  </property>
  <property fmtid="{D5CDD505-2E9C-101B-9397-08002B2CF9AE}" pid="4" name="KSOTemplateDocerSaveRecord">
    <vt:lpwstr>eyJoZGlkIjoiNzllYTBkNjA2MDczZjg3MzI5OWU0Mjc2NzMzNTAyZDAiLCJ1c2VySWQiOiIxMzYzNjk0NiJ9</vt:lpwstr>
  </property>
</Properties>
</file>