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5630" w:type="dxa"/>
        <w:tblInd w:w="93" w:type="dxa"/>
        <w:tblLayout w:type="fixed"/>
        <w:tblCellMar>
          <w:top w:w="0" w:type="dxa"/>
          <w:left w:w="108" w:type="dxa"/>
          <w:bottom w:w="0" w:type="dxa"/>
          <w:right w:w="108" w:type="dxa"/>
        </w:tblCellMar>
      </w:tblPr>
      <w:tblGrid>
        <w:gridCol w:w="457"/>
        <w:gridCol w:w="884"/>
        <w:gridCol w:w="1035"/>
        <w:gridCol w:w="870"/>
        <w:gridCol w:w="945"/>
        <w:gridCol w:w="1998"/>
        <w:gridCol w:w="8561"/>
        <w:gridCol w:w="880"/>
      </w:tblGrid>
      <w:tr w14:paraId="0BA48DA4">
        <w:tblPrEx>
          <w:tblCellMar>
            <w:top w:w="0" w:type="dxa"/>
            <w:left w:w="108" w:type="dxa"/>
            <w:bottom w:w="0" w:type="dxa"/>
            <w:right w:w="108" w:type="dxa"/>
          </w:tblCellMar>
        </w:tblPrEx>
        <w:trPr>
          <w:trHeight w:val="631" w:hRule="atLeast"/>
        </w:trPr>
        <w:tc>
          <w:tcPr>
            <w:tcW w:w="1563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21A129F">
            <w:pPr>
              <w:widowControl/>
              <w:jc w:val="center"/>
              <w:textAlignment w:val="center"/>
              <w:rPr>
                <w:rFonts w:ascii="宋体" w:hAnsi="宋体" w:eastAsia="宋体" w:cs="宋体"/>
                <w:b/>
                <w:bCs/>
                <w:color w:val="auto"/>
                <w:sz w:val="24"/>
                <w:szCs w:val="24"/>
              </w:rPr>
            </w:pPr>
            <w:r>
              <w:rPr>
                <w:rFonts w:hint="eastAsia" w:ascii="宋体" w:hAnsi="宋体" w:eastAsia="宋体" w:cs="宋体"/>
                <w:b/>
                <w:bCs/>
                <w:color w:val="auto"/>
                <w:kern w:val="0"/>
                <w:sz w:val="24"/>
                <w:szCs w:val="24"/>
              </w:rPr>
              <w:t>呼伦贝尔市生态环境局额尔古纳市分局关于</w:t>
            </w:r>
            <w:r>
              <w:rPr>
                <w:rFonts w:ascii="Times New Roman" w:hAnsi="Times New Roman" w:eastAsia="宋体" w:cs="Times New Roman"/>
                <w:b/>
                <w:bCs/>
                <w:color w:val="auto"/>
                <w:sz w:val="24"/>
                <w:szCs w:val="24"/>
              </w:rPr>
              <w:t>202</w:t>
            </w:r>
            <w:r>
              <w:rPr>
                <w:rFonts w:hint="eastAsia" w:ascii="Times New Roman" w:hAnsi="Times New Roman" w:eastAsia="宋体" w:cs="Times New Roman"/>
                <w:b/>
                <w:bCs/>
                <w:color w:val="auto"/>
                <w:sz w:val="24"/>
                <w:szCs w:val="24"/>
                <w:lang w:val="en-US" w:eastAsia="zh-CN"/>
              </w:rPr>
              <w:t>6</w:t>
            </w:r>
            <w:r>
              <w:rPr>
                <w:rFonts w:hint="eastAsia" w:ascii="宋体" w:hAnsi="宋体" w:eastAsia="宋体" w:cs="宋体"/>
                <w:b/>
                <w:bCs/>
                <w:color w:val="auto"/>
                <w:sz w:val="24"/>
                <w:szCs w:val="24"/>
              </w:rPr>
              <w:t>年</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月</w:t>
            </w:r>
            <w:r>
              <w:rPr>
                <w:rFonts w:hint="eastAsia" w:ascii="宋体" w:hAnsi="宋体" w:eastAsia="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日</w:t>
            </w:r>
            <w:r>
              <w:rPr>
                <w:rFonts w:hint="eastAsia" w:ascii="宋体" w:hAnsi="宋体" w:eastAsia="宋体" w:cs="宋体"/>
                <w:b/>
                <w:bCs/>
                <w:color w:val="auto"/>
                <w:sz w:val="24"/>
                <w:szCs w:val="24"/>
              </w:rPr>
              <w:t>受理建设项目</w:t>
            </w:r>
            <w:bookmarkStart w:id="0" w:name="OLE_LINK1"/>
            <w:r>
              <w:rPr>
                <w:rFonts w:hint="eastAsia" w:ascii="宋体" w:hAnsi="宋体" w:eastAsia="宋体" w:cs="宋体"/>
                <w:b/>
                <w:bCs/>
                <w:color w:val="auto"/>
                <w:sz w:val="24"/>
                <w:szCs w:val="24"/>
              </w:rPr>
              <w:t>环评拟审批决定的公示</w:t>
            </w:r>
            <w:bookmarkEnd w:id="0"/>
          </w:p>
        </w:tc>
      </w:tr>
      <w:tr w14:paraId="1F44B335">
        <w:tblPrEx>
          <w:tblCellMar>
            <w:top w:w="0" w:type="dxa"/>
            <w:left w:w="108" w:type="dxa"/>
            <w:bottom w:w="0" w:type="dxa"/>
            <w:right w:w="108" w:type="dxa"/>
          </w:tblCellMar>
        </w:tblPrEx>
        <w:trPr>
          <w:trHeight w:val="1779" w:hRule="atLeast"/>
        </w:trPr>
        <w:tc>
          <w:tcPr>
            <w:tcW w:w="1563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5054708">
            <w:pPr>
              <w:widowControl/>
              <w:ind w:firstLine="480" w:firstLineChars="200"/>
              <w:jc w:val="left"/>
              <w:textAlignment w:val="center"/>
              <w:rPr>
                <w:rFonts w:ascii="宋体" w:hAnsi="宋体" w:eastAsia="宋体" w:cs="宋体"/>
                <w:color w:val="auto"/>
                <w:sz w:val="24"/>
                <w:szCs w:val="24"/>
              </w:rPr>
            </w:pPr>
            <w:r>
              <w:rPr>
                <w:rFonts w:hint="eastAsia" w:ascii="宋体" w:hAnsi="宋体" w:eastAsia="宋体" w:cs="宋体"/>
                <w:color w:val="auto"/>
                <w:kern w:val="0"/>
                <w:sz w:val="24"/>
                <w:szCs w:val="24"/>
              </w:rPr>
              <w:t>根据建设项目环境影响评价审批程序的有关规定，经审查，我局拟对</w:t>
            </w:r>
            <w:r>
              <w:rPr>
                <w:rFonts w:ascii="Times New Roman" w:hAnsi="Times New Roman" w:eastAsia="宋体" w:cs="Times New Roman"/>
                <w:color w:val="auto"/>
                <w:sz w:val="24"/>
                <w:szCs w:val="24"/>
              </w:rPr>
              <w:t>202</w:t>
            </w:r>
            <w:r>
              <w:rPr>
                <w:rFonts w:hint="eastAsia" w:ascii="Times New Roman" w:hAnsi="Times New Roman" w:eastAsia="宋体" w:cs="Times New Roman"/>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30</w:t>
            </w:r>
            <w:bookmarkStart w:id="3" w:name="_GoBack"/>
            <w:bookmarkEnd w:id="3"/>
            <w:r>
              <w:rPr>
                <w:rFonts w:hint="eastAsia" w:ascii="宋体" w:hAnsi="宋体" w:eastAsia="宋体" w:cs="宋体"/>
                <w:color w:val="auto"/>
                <w:sz w:val="24"/>
                <w:szCs w:val="24"/>
              </w:rPr>
              <w:t>日受理的建设项目环评作出审批意见。为保证该行政许可的严肃性和公正性，现将拟通过审批的环境影响评价文件基本情况予以公示，公示期为自公示起开始</w:t>
            </w:r>
            <w:r>
              <w:rPr>
                <w:rFonts w:ascii="Times New Roman" w:hAnsi="Times New Roman" w:eastAsia="宋体" w:cs="Times New Roman"/>
                <w:color w:val="auto"/>
                <w:sz w:val="24"/>
                <w:szCs w:val="24"/>
              </w:rPr>
              <w:t>5</w:t>
            </w:r>
            <w:r>
              <w:rPr>
                <w:rFonts w:hint="eastAsia" w:ascii="宋体" w:hAnsi="宋体" w:eastAsia="宋体" w:cs="宋体"/>
                <w:color w:val="auto"/>
                <w:sz w:val="24"/>
                <w:szCs w:val="24"/>
              </w:rPr>
              <w:t>个工作日。听证权利告知：依据《中华人民共和国行政许可法》，自公示起五日内申请人、利害关系人可对以下拟作出的建设项目环境影响评价文件审批意见要求听证。</w:t>
            </w:r>
            <w:r>
              <w:rPr>
                <w:rFonts w:ascii="Times New Roman" w:hAnsi="Times New Roman" w:eastAsia="宋体" w:cs="Times New Roman"/>
                <w:color w:val="auto"/>
                <w:sz w:val="24"/>
                <w:szCs w:val="24"/>
              </w:rPr>
              <w:br w:type="textWrapping"/>
            </w:r>
            <w:r>
              <w:rPr>
                <w:rFonts w:hint="eastAsia" w:ascii="宋体" w:hAnsi="宋体" w:eastAsia="宋体" w:cs="宋体"/>
                <w:color w:val="auto"/>
                <w:sz w:val="24"/>
                <w:szCs w:val="24"/>
              </w:rPr>
              <w:t>联系电话：</w:t>
            </w:r>
            <w:r>
              <w:rPr>
                <w:rFonts w:ascii="Times New Roman" w:hAnsi="Times New Roman" w:eastAsia="宋体" w:cs="Times New Roman"/>
                <w:color w:val="auto"/>
                <w:sz w:val="24"/>
                <w:szCs w:val="24"/>
              </w:rPr>
              <w:t xml:space="preserve">0470-6801566 </w:t>
            </w:r>
            <w:r>
              <w:rPr>
                <w:rFonts w:hint="eastAsia" w:ascii="宋体" w:hAnsi="宋体" w:eastAsia="宋体" w:cs="宋体"/>
                <w:color w:val="auto"/>
                <w:sz w:val="24"/>
                <w:szCs w:val="24"/>
              </w:rPr>
              <w:t>传</w:t>
            </w:r>
            <w:r>
              <w:rPr>
                <w:rFonts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真：</w:t>
            </w:r>
            <w:r>
              <w:rPr>
                <w:rFonts w:ascii="Times New Roman" w:hAnsi="Times New Roman" w:eastAsia="宋体" w:cs="Times New Roman"/>
                <w:color w:val="auto"/>
                <w:sz w:val="24"/>
                <w:szCs w:val="24"/>
              </w:rPr>
              <w:t>0470-6801566</w:t>
            </w:r>
            <w:r>
              <w:rPr>
                <w:rFonts w:hint="eastAsia" w:ascii="宋体" w:hAnsi="宋体" w:eastAsia="宋体" w:cs="宋体"/>
                <w:color w:val="auto"/>
                <w:sz w:val="24"/>
                <w:szCs w:val="24"/>
              </w:rPr>
              <w:t>通讯地址：额尔古纳市拉布大林街道办事处额尔古纳大街</w:t>
            </w:r>
            <w:r>
              <w:rPr>
                <w:rFonts w:ascii="Times New Roman" w:hAnsi="Times New Roman" w:eastAsia="宋体" w:cs="Times New Roman"/>
                <w:color w:val="auto"/>
                <w:sz w:val="24"/>
                <w:szCs w:val="24"/>
              </w:rPr>
              <w:t>63</w:t>
            </w:r>
            <w:r>
              <w:rPr>
                <w:rFonts w:hint="eastAsia" w:ascii="宋体" w:hAnsi="宋体" w:eastAsia="宋体" w:cs="宋体"/>
                <w:color w:val="auto"/>
                <w:sz w:val="24"/>
                <w:szCs w:val="24"/>
              </w:rPr>
              <w:t>号</w:t>
            </w:r>
            <w:r>
              <w:rPr>
                <w:rFonts w:ascii="Times New Roman" w:hAnsi="Times New Roman" w:eastAsia="宋体" w:cs="Times New Roman"/>
                <w:color w:val="auto"/>
                <w:sz w:val="24"/>
                <w:szCs w:val="24"/>
              </w:rPr>
              <w:t>-</w:t>
            </w:r>
            <w:r>
              <w:rPr>
                <w:rFonts w:hint="eastAsia" w:ascii="宋体" w:hAnsi="宋体" w:eastAsia="宋体" w:cs="宋体"/>
                <w:color w:val="auto"/>
                <w:sz w:val="24"/>
                <w:szCs w:val="24"/>
              </w:rPr>
              <w:t>呼伦贝尔市生态环境局额尔古纳市分局</w:t>
            </w:r>
            <w:r>
              <w:rPr>
                <w:rFonts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邮</w:t>
            </w:r>
            <w:r>
              <w:rPr>
                <w:rFonts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编：</w:t>
            </w:r>
            <w:r>
              <w:rPr>
                <w:rFonts w:ascii="Times New Roman" w:hAnsi="Times New Roman" w:eastAsia="宋体" w:cs="Times New Roman"/>
                <w:color w:val="auto"/>
                <w:sz w:val="24"/>
                <w:szCs w:val="24"/>
              </w:rPr>
              <w:t>022250</w:t>
            </w:r>
          </w:p>
        </w:tc>
      </w:tr>
      <w:tr w14:paraId="47494791">
        <w:tblPrEx>
          <w:tblCellMar>
            <w:top w:w="0" w:type="dxa"/>
            <w:left w:w="108" w:type="dxa"/>
            <w:bottom w:w="0" w:type="dxa"/>
            <w:right w:w="108" w:type="dxa"/>
          </w:tblCellMar>
        </w:tblPrEx>
        <w:trPr>
          <w:trHeight w:val="74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91D00">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序号</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A46B0">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项目名称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26975">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建设地点</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1EDC2">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建设单位</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D8DF7">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环境影响评价机构</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56E6B">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项目概况</w:t>
            </w:r>
          </w:p>
        </w:tc>
        <w:tc>
          <w:tcPr>
            <w:tcW w:w="85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972C2">
            <w:pPr>
              <w:widowControl/>
              <w:jc w:val="center"/>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削减生态环境影响的主要污染防治措施</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A0B6">
            <w:pPr>
              <w:widowControl/>
              <w:textAlignment w:val="center"/>
              <w:rPr>
                <w:rFonts w:ascii="宋体" w:hAnsi="宋体" w:eastAsia="宋体" w:cs="宋体"/>
                <w:b/>
                <w:bCs/>
                <w:color w:val="000000"/>
                <w:sz w:val="21"/>
                <w:szCs w:val="21"/>
              </w:rPr>
            </w:pPr>
            <w:r>
              <w:rPr>
                <w:rFonts w:hint="eastAsia" w:ascii="宋体" w:hAnsi="宋体" w:eastAsia="宋体" w:cs="宋体"/>
                <w:b/>
                <w:bCs/>
                <w:color w:val="000000"/>
                <w:kern w:val="0"/>
                <w:sz w:val="21"/>
                <w:szCs w:val="21"/>
              </w:rPr>
              <w:t>公众参与情况</w:t>
            </w:r>
          </w:p>
        </w:tc>
      </w:tr>
      <w:tr w14:paraId="75E2701F">
        <w:tblPrEx>
          <w:tblCellMar>
            <w:top w:w="0" w:type="dxa"/>
            <w:left w:w="108" w:type="dxa"/>
            <w:bottom w:w="0" w:type="dxa"/>
            <w:right w:w="108" w:type="dxa"/>
          </w:tblCellMar>
        </w:tblPrEx>
        <w:trPr>
          <w:trHeight w:val="11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1ECE3">
            <w:pPr>
              <w:widowControl/>
              <w:jc w:val="center"/>
              <w:textAlignment w:val="center"/>
              <w:rPr>
                <w:rFonts w:ascii="Times New Roman" w:hAnsi="Times New Roman" w:eastAsia="宋体" w:cs="Times New Roman"/>
                <w:color w:val="000000"/>
                <w:sz w:val="24"/>
                <w:szCs w:val="24"/>
              </w:rPr>
            </w:pPr>
            <w:bookmarkStart w:id="1" w:name="OLE_LINK2" w:colFirst="1" w:colLast="2"/>
            <w:r>
              <w:rPr>
                <w:rFonts w:ascii="Times New Roman" w:hAnsi="Times New Roman" w:eastAsia="宋体" w:cs="Times New Roman"/>
                <w:color w:val="000000"/>
                <w:kern w:val="0"/>
                <w:sz w:val="24"/>
                <w:szCs w:val="24"/>
              </w:rPr>
              <w:t>1</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6F95A">
            <w:pPr>
              <w:spacing w:line="400" w:lineRule="exact"/>
              <w:jc w:val="center"/>
              <w:rPr>
                <w:rFonts w:ascii="宋体" w:hAnsi="宋体" w:eastAsia="宋体" w:cs="宋体"/>
                <w:color w:val="000000"/>
                <w:szCs w:val="21"/>
              </w:rPr>
            </w:pPr>
            <w:r>
              <w:rPr>
                <w:rFonts w:hint="eastAsia" w:ascii="Times New Roman" w:hAnsi="Times New Roman" w:cs="Times New Roman" w:eastAsiaTheme="majorEastAsia"/>
                <w:szCs w:val="21"/>
              </w:rPr>
              <w:t>古纳国际酒店布草洗涤车间建设项目</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9032E">
            <w:pPr>
              <w:spacing w:line="400" w:lineRule="exact"/>
              <w:jc w:val="center"/>
              <w:rPr>
                <w:rFonts w:ascii="宋体" w:hAnsi="宋体" w:eastAsia="宋体" w:cs="宋体"/>
                <w:color w:val="000000"/>
                <w:szCs w:val="21"/>
              </w:rPr>
            </w:pPr>
            <w:r>
              <w:rPr>
                <w:rFonts w:hint="eastAsia" w:ascii="Times New Roman" w:hAnsi="Times New Roman" w:cs="Times New Roman" w:eastAsiaTheme="majorEastAsia"/>
                <w:szCs w:val="21"/>
              </w:rPr>
              <w:t>额尔古纳市拉布大林街道办事处产业园区</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AAAF0">
            <w:pPr>
              <w:spacing w:line="400" w:lineRule="exact"/>
              <w:jc w:val="center"/>
              <w:rPr>
                <w:rFonts w:ascii="宋体" w:hAnsi="宋体" w:eastAsia="宋体" w:cs="宋体"/>
                <w:color w:val="000000"/>
                <w:szCs w:val="21"/>
              </w:rPr>
            </w:pPr>
            <w:r>
              <w:rPr>
                <w:rFonts w:hint="eastAsia" w:ascii="宋体" w:hAnsi="宋体" w:eastAsia="宋体" w:cs="宋体"/>
                <w:sz w:val="21"/>
                <w:szCs w:val="21"/>
                <w:u w:val="none"/>
              </w:rPr>
              <w:t>呼伦贝尔古纳国际酒店管理有限公司</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7E116">
            <w:pPr>
              <w:spacing w:line="400" w:lineRule="exact"/>
              <w:jc w:val="center"/>
              <w:rPr>
                <w:rFonts w:hint="eastAsia" w:ascii="宋体" w:hAnsi="宋体" w:eastAsia="宋体" w:cs="宋体"/>
                <w:color w:val="000000"/>
                <w:szCs w:val="21"/>
                <w:lang w:eastAsia="zh-CN"/>
              </w:rPr>
            </w:pPr>
            <w:r>
              <w:rPr>
                <w:rFonts w:hint="eastAsia"/>
                <w:color w:val="auto"/>
                <w:lang w:val="en-US" w:eastAsia="zh-CN"/>
              </w:rPr>
              <w:t>内蒙古运银环保科技有限公司</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63EB7">
            <w:pPr>
              <w:widowControl/>
              <w:textAlignment w:val="center"/>
              <w:rPr>
                <w:rFonts w:ascii="宋体" w:hAnsi="宋体" w:eastAsia="宋体" w:cs="宋体"/>
                <w:color w:val="000000"/>
                <w:szCs w:val="21"/>
              </w:rPr>
            </w:pPr>
            <w:r>
              <w:rPr>
                <w:rFonts w:hint="eastAsia" w:ascii="Times New Roman" w:hAnsi="Times New Roman" w:cs="Times New Roman" w:eastAsiaTheme="majorEastAsia"/>
                <w:szCs w:val="21"/>
                <w:lang w:val="en-US" w:eastAsia="zh-CN"/>
              </w:rPr>
              <w:t>本项目为古纳国际酒店布草洗涤车间建设项目，位于额尔古纳市拉布大林街道办事处产业园区，项目占地8000㎡，新建洗涤车间3468㎡，厂房为混凝土钢结构，项目建成运营后设置布草洗涤生产线2条，主要年洗涤床单、被套、枕巾、浴巾等系列宾馆住宿配套用品共约72万套，项目采用2台5t/h燃生物质蒸汽锅炉为项目提供热源</w:t>
            </w:r>
          </w:p>
        </w:tc>
        <w:tc>
          <w:tcPr>
            <w:tcW w:w="8561" w:type="dxa"/>
            <w:tcBorders>
              <w:top w:val="single" w:color="000000" w:sz="4" w:space="0"/>
              <w:left w:val="single" w:color="000000" w:sz="4" w:space="0"/>
              <w:bottom w:val="single" w:color="000000" w:sz="4" w:space="0"/>
              <w:right w:val="single" w:color="000000" w:sz="4" w:space="0"/>
            </w:tcBorders>
            <w:shd w:val="clear" w:color="auto" w:fill="auto"/>
          </w:tcPr>
          <w:p w14:paraId="3843183A">
            <w:pPr>
              <w:rPr>
                <w:rFonts w:hint="eastAsia"/>
                <w:color w:val="000000"/>
                <w:szCs w:val="21"/>
              </w:rPr>
            </w:pPr>
            <w:r>
              <w:rPr>
                <w:rFonts w:hint="eastAsia"/>
                <w:color w:val="000000"/>
                <w:szCs w:val="21"/>
              </w:rPr>
              <w:t>1、废水污染防治措施</w:t>
            </w:r>
          </w:p>
          <w:p w14:paraId="7B139466">
            <w:pPr>
              <w:rPr>
                <w:rFonts w:hint="eastAsia" w:eastAsiaTheme="minorEastAsia"/>
                <w:color w:val="000000"/>
                <w:szCs w:val="21"/>
                <w:lang w:val="zh-CN" w:eastAsia="zh-CN"/>
              </w:rPr>
            </w:pPr>
            <w:r>
              <w:rPr>
                <w:rFonts w:hint="eastAsia"/>
                <w:bCs/>
                <w:szCs w:val="21"/>
              </w:rPr>
              <w:t>项目设置2座防渗化粪池，结构为C30混凝土+聚氨酯防渗漆；污水经化粪池沉淀处理后，</w:t>
            </w:r>
            <w:r>
              <w:rPr>
                <w:rFonts w:hint="eastAsia"/>
                <w:bCs/>
                <w:szCs w:val="21"/>
                <w:lang w:val="en-US" w:eastAsia="zh-CN"/>
              </w:rPr>
              <w:t>采用污水罐车拉运至</w:t>
            </w:r>
            <w:r>
              <w:rPr>
                <w:rFonts w:hint="eastAsia"/>
                <w:bCs/>
                <w:szCs w:val="21"/>
              </w:rPr>
              <w:t>额尔古纳市污水处理厂处理。</w:t>
            </w:r>
          </w:p>
          <w:p w14:paraId="3A27F337">
            <w:pPr>
              <w:rPr>
                <w:color w:val="000000"/>
                <w:szCs w:val="21"/>
              </w:rPr>
            </w:pPr>
            <w:r>
              <w:rPr>
                <w:rFonts w:hint="eastAsia"/>
                <w:color w:val="000000"/>
                <w:szCs w:val="21"/>
              </w:rPr>
              <w:t>2、废气污染防治措施</w:t>
            </w:r>
          </w:p>
          <w:p w14:paraId="65C8BBBB">
            <w:pPr>
              <w:rPr>
                <w:rFonts w:hint="eastAsia"/>
                <w:szCs w:val="21"/>
              </w:rPr>
            </w:pPr>
            <w:r>
              <w:rPr>
                <w:rFonts w:hint="eastAsia"/>
                <w:szCs w:val="21"/>
              </w:rPr>
              <w:t>锅炉烟气多管+</w:t>
            </w:r>
            <w:r>
              <w:rPr>
                <w:szCs w:val="21"/>
              </w:rPr>
              <w:t>布袋除尘器</w:t>
            </w:r>
            <w:r>
              <w:rPr>
                <w:rFonts w:hint="eastAsia"/>
                <w:szCs w:val="21"/>
              </w:rPr>
              <w:t>处理（共2套），废气由</w:t>
            </w:r>
            <w:r>
              <w:rPr>
                <w:szCs w:val="21"/>
              </w:rPr>
              <w:t>1根高</w:t>
            </w:r>
            <w:r>
              <w:rPr>
                <w:rFonts w:hint="eastAsia"/>
                <w:szCs w:val="21"/>
              </w:rPr>
              <w:t>35</w:t>
            </w:r>
            <w:r>
              <w:rPr>
                <w:szCs w:val="21"/>
              </w:rPr>
              <w:t>m的排气筒排放</w:t>
            </w:r>
            <w:r>
              <w:rPr>
                <w:rFonts w:hint="eastAsia"/>
                <w:szCs w:val="21"/>
              </w:rPr>
              <w:t>，除尘效率99.3%。</w:t>
            </w:r>
          </w:p>
          <w:p w14:paraId="3E3D97B8">
            <w:pPr>
              <w:rPr>
                <w:color w:val="000000"/>
                <w:szCs w:val="21"/>
              </w:rPr>
            </w:pPr>
            <w:r>
              <w:rPr>
                <w:rFonts w:hint="eastAsia"/>
                <w:color w:val="000000"/>
                <w:szCs w:val="21"/>
              </w:rPr>
              <w:t>3、</w:t>
            </w:r>
            <w:bookmarkStart w:id="2" w:name="OLE_LINK3"/>
            <w:r>
              <w:rPr>
                <w:rFonts w:hint="eastAsia"/>
                <w:color w:val="000000"/>
                <w:szCs w:val="21"/>
              </w:rPr>
              <w:t>噪声污染防治措施</w:t>
            </w:r>
            <w:bookmarkEnd w:id="2"/>
          </w:p>
          <w:p w14:paraId="54103724">
            <w:pPr>
              <w:rPr>
                <w:color w:val="000000"/>
                <w:szCs w:val="21"/>
              </w:rPr>
            </w:pPr>
            <w:r>
              <w:rPr>
                <w:bCs/>
                <w:spacing w:val="-10"/>
                <w:szCs w:val="21"/>
              </w:rPr>
              <w:t>设备选型低噪声设备，基础减震，定期检查设备运行情况，防止故障性噪声排放；将</w:t>
            </w:r>
            <w:r>
              <w:rPr>
                <w:rFonts w:hint="eastAsia"/>
                <w:bCs/>
                <w:spacing w:val="-10"/>
                <w:szCs w:val="21"/>
              </w:rPr>
              <w:t>产噪</w:t>
            </w:r>
            <w:r>
              <w:rPr>
                <w:bCs/>
                <w:spacing w:val="-10"/>
                <w:szCs w:val="21"/>
              </w:rPr>
              <w:t>设备置于</w:t>
            </w:r>
            <w:r>
              <w:rPr>
                <w:rFonts w:hint="eastAsia"/>
                <w:bCs/>
                <w:spacing w:val="-10"/>
                <w:szCs w:val="21"/>
              </w:rPr>
              <w:t>厂</w:t>
            </w:r>
            <w:r>
              <w:rPr>
                <w:bCs/>
                <w:spacing w:val="-10"/>
                <w:szCs w:val="21"/>
              </w:rPr>
              <w:t>房内</w:t>
            </w:r>
            <w:r>
              <w:rPr>
                <w:rFonts w:hint="eastAsia"/>
                <w:color w:val="000000"/>
                <w:szCs w:val="21"/>
              </w:rPr>
              <w:t>。</w:t>
            </w:r>
          </w:p>
          <w:p w14:paraId="26352D42">
            <w:pPr>
              <w:rPr>
                <w:color w:val="000000"/>
                <w:szCs w:val="21"/>
              </w:rPr>
            </w:pPr>
            <w:r>
              <w:rPr>
                <w:rFonts w:hint="eastAsia"/>
                <w:color w:val="000000"/>
                <w:szCs w:val="21"/>
              </w:rPr>
              <w:t>4、固体废物污染防治措施</w:t>
            </w:r>
          </w:p>
          <w:p w14:paraId="7141997E">
            <w:pPr>
              <w:rPr>
                <w:rFonts w:hint="eastAsia" w:ascii="宋体" w:hAnsi="宋体" w:cs="宋体"/>
                <w:szCs w:val="21"/>
              </w:rPr>
            </w:pPr>
            <w:r>
              <w:rPr>
                <w:rFonts w:hint="eastAsia" w:ascii="宋体" w:hAnsi="宋体" w:cs="宋体"/>
                <w:szCs w:val="21"/>
              </w:rPr>
              <w:t>项目运营期产生的生活垃圾、</w:t>
            </w:r>
            <w:r>
              <w:rPr>
                <w:rFonts w:hint="eastAsia" w:ascii="宋体" w:hAnsi="宋体" w:cs="宋体"/>
                <w:szCs w:val="21"/>
                <w:lang w:val="en-US" w:eastAsia="zh-CN"/>
              </w:rPr>
              <w:t>过滤毛绒等</w:t>
            </w:r>
            <w:r>
              <w:rPr>
                <w:rFonts w:hint="eastAsia" w:ascii="宋体" w:hAnsi="宋体" w:cs="宋体"/>
                <w:szCs w:val="21"/>
              </w:rPr>
              <w:t>收集至厂区垃圾箱后，由当地环卫部门定期清运</w:t>
            </w:r>
            <w:r>
              <w:rPr>
                <w:rFonts w:hint="eastAsia" w:ascii="宋体" w:hAnsi="宋体" w:cs="宋体"/>
                <w:szCs w:val="21"/>
                <w:lang w:eastAsia="zh-CN"/>
              </w:rPr>
              <w:t>；</w:t>
            </w:r>
            <w:r>
              <w:rPr>
                <w:rFonts w:hint="eastAsia" w:ascii="宋体" w:hAnsi="宋体" w:cs="宋体"/>
                <w:szCs w:val="21"/>
                <w:lang w:val="en-US" w:eastAsia="zh-CN"/>
              </w:rPr>
              <w:t>废包装材料</w:t>
            </w:r>
            <w:r>
              <w:rPr>
                <w:rFonts w:hint="eastAsia"/>
              </w:rPr>
              <w:t>定期出售给废旧物资回收部门综合利用</w:t>
            </w:r>
            <w:r>
              <w:rPr>
                <w:rFonts w:hint="eastAsia"/>
                <w:lang w:eastAsia="zh-CN"/>
              </w:rPr>
              <w:t>；</w:t>
            </w:r>
            <w:r>
              <w:rPr>
                <w:rFonts w:hint="eastAsia"/>
                <w:lang w:val="en-US" w:eastAsia="zh-CN"/>
              </w:rPr>
              <w:t>废离子交换树脂在</w:t>
            </w:r>
            <w:r>
              <w:rPr>
                <w:rFonts w:hint="eastAsia"/>
              </w:rPr>
              <w:t>更换时由厂家回收处置</w:t>
            </w:r>
            <w:r>
              <w:rPr>
                <w:rFonts w:hint="eastAsia"/>
                <w:lang w:eastAsia="zh-CN"/>
              </w:rPr>
              <w:t>；</w:t>
            </w:r>
            <w:r>
              <w:rPr>
                <w:rFonts w:hint="eastAsia"/>
                <w:lang w:val="en-US" w:eastAsia="zh-CN"/>
              </w:rPr>
              <w:t>锅炉草木灰及</w:t>
            </w:r>
            <w:r>
              <w:rPr>
                <w:rFonts w:hint="eastAsia" w:ascii="宋体" w:hAnsi="宋体" w:cs="宋体"/>
                <w:szCs w:val="21"/>
              </w:rPr>
              <w:t>除尘</w:t>
            </w:r>
            <w:r>
              <w:rPr>
                <w:rFonts w:hint="eastAsia" w:ascii="宋体" w:hAnsi="宋体" w:cs="宋体"/>
                <w:szCs w:val="21"/>
                <w:lang w:val="en-US" w:eastAsia="zh-CN"/>
              </w:rPr>
              <w:t>灰采用密实袋</w:t>
            </w:r>
            <w:r>
              <w:rPr>
                <w:rFonts w:hint="eastAsia"/>
              </w:rPr>
              <w:t>盛装后暂存锅炉房，定期委托附近农户用于农田土壤改良</w:t>
            </w:r>
            <w:r>
              <w:rPr>
                <w:rFonts w:hint="eastAsia" w:ascii="宋体" w:hAnsi="宋体" w:cs="宋体"/>
                <w:szCs w:val="21"/>
              </w:rPr>
              <w:t>。</w:t>
            </w:r>
          </w:p>
          <w:p w14:paraId="37957CC7">
            <w:pPr>
              <w:numPr>
                <w:ilvl w:val="0"/>
                <w:numId w:val="1"/>
              </w:numPr>
              <w:rPr>
                <w:szCs w:val="21"/>
              </w:rPr>
            </w:pPr>
            <w:r>
              <w:rPr>
                <w:szCs w:val="21"/>
              </w:rPr>
              <w:t>土壤及地下水污染防治措施</w:t>
            </w:r>
          </w:p>
          <w:p w14:paraId="24A099BA">
            <w:pPr>
              <w:numPr>
                <w:ilvl w:val="0"/>
                <w:numId w:val="0"/>
              </w:numPr>
              <w:rPr>
                <w:rFonts w:hint="default"/>
                <w:szCs w:val="21"/>
                <w:lang w:val="en-US" w:eastAsia="zh-CN"/>
              </w:rPr>
            </w:pPr>
            <w:r>
              <w:rPr>
                <w:rFonts w:hint="default"/>
                <w:szCs w:val="21"/>
                <w:lang w:val="en-US" w:eastAsia="zh-CN"/>
              </w:rPr>
              <w:t>重点防渗区：本项目重点防渗区域主要为化粪池、洗涤间、消防水池。化粪池及消防水池池底与池壁、洗涤间地面采用C30水泥基渗透结晶型抗渗混凝土+2mm厚聚氨酯防渗漆。采取上述措施后渗透系数不大于1.0×10-7cm/s。</w:t>
            </w:r>
          </w:p>
          <w:p w14:paraId="6F62E39A">
            <w:pPr>
              <w:numPr>
                <w:ilvl w:val="0"/>
                <w:numId w:val="0"/>
              </w:numPr>
              <w:rPr>
                <w:rFonts w:hint="default"/>
                <w:szCs w:val="21"/>
                <w:lang w:val="en-US" w:eastAsia="zh-CN"/>
              </w:rPr>
            </w:pPr>
            <w:r>
              <w:rPr>
                <w:rFonts w:hint="default"/>
                <w:szCs w:val="21"/>
                <w:lang w:val="en-US" w:eastAsia="zh-CN"/>
              </w:rPr>
              <w:t>一般防渗区：熨烫间、锅炉间、布草烘干区、布草暂存区、一般固废暂存间等均按一般防渗区进行防渗处理，采用C20混凝土整体浇筑，厚150mm；消防水池采用混凝土+防水卷材+聚氨酯防渗漆；渗透系数不大于1.0×10-7cm/s。满足《一般工业固体废物贮存和填埋污染控制标准》（GB18599-2020）要求。</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B466B">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w:t>
            </w:r>
          </w:p>
        </w:tc>
      </w:tr>
      <w:bookmarkEnd w:id="1"/>
    </w:tbl>
    <w:p w14:paraId="0931CD24">
      <w:pPr>
        <w:pStyle w:val="13"/>
        <w:shd w:val="clear" w:color="auto" w:fill="FFFFFF"/>
        <w:spacing w:before="0" w:beforeAutospacing="0" w:after="0" w:afterAutospacing="0" w:line="420" w:lineRule="atLeast"/>
        <w:rPr>
          <w:rFonts w:ascii="Times New Roman" w:hAnsi="Times New Roman" w:cs="Times New Roman"/>
          <w:color w:val="333333"/>
          <w:sz w:val="21"/>
          <w:szCs w:val="21"/>
        </w:rPr>
      </w:pPr>
    </w:p>
    <w:sectPr>
      <w:pgSz w:w="16838" w:h="11906"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2B4223"/>
    <w:multiLevelType w:val="singleLevel"/>
    <w:tmpl w:val="E22B4223"/>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Y0MGQ0NzhkZTY1NTAwZGQyMjljNDk3MTkxMTIwYTMifQ=="/>
    <w:docVar w:name="KSO_WPS_MARK_KEY" w:val="29697520-b35d-40ac-9cc0-c9a84a892c6b"/>
  </w:docVars>
  <w:rsids>
    <w:rsidRoot w:val="000C1E40"/>
    <w:rsid w:val="0000178C"/>
    <w:rsid w:val="00002003"/>
    <w:rsid w:val="00046875"/>
    <w:rsid w:val="00051DBC"/>
    <w:rsid w:val="00061E12"/>
    <w:rsid w:val="00084BB2"/>
    <w:rsid w:val="00085479"/>
    <w:rsid w:val="000913D1"/>
    <w:rsid w:val="0009303D"/>
    <w:rsid w:val="000A26B7"/>
    <w:rsid w:val="000A2A55"/>
    <w:rsid w:val="000C0745"/>
    <w:rsid w:val="000C1E40"/>
    <w:rsid w:val="000C2525"/>
    <w:rsid w:val="000D3C0A"/>
    <w:rsid w:val="000D7585"/>
    <w:rsid w:val="000E3704"/>
    <w:rsid w:val="000E7163"/>
    <w:rsid w:val="000F1306"/>
    <w:rsid w:val="000F47E9"/>
    <w:rsid w:val="00106879"/>
    <w:rsid w:val="00116DDB"/>
    <w:rsid w:val="00122760"/>
    <w:rsid w:val="0013128E"/>
    <w:rsid w:val="00142068"/>
    <w:rsid w:val="001464DB"/>
    <w:rsid w:val="00147C33"/>
    <w:rsid w:val="0015662E"/>
    <w:rsid w:val="001613AA"/>
    <w:rsid w:val="00185613"/>
    <w:rsid w:val="001A3E00"/>
    <w:rsid w:val="001B02AF"/>
    <w:rsid w:val="001C0303"/>
    <w:rsid w:val="001F2A20"/>
    <w:rsid w:val="001F688E"/>
    <w:rsid w:val="00232FC5"/>
    <w:rsid w:val="00233DF0"/>
    <w:rsid w:val="002375C6"/>
    <w:rsid w:val="002376C5"/>
    <w:rsid w:val="00243BB6"/>
    <w:rsid w:val="002606AE"/>
    <w:rsid w:val="00260E60"/>
    <w:rsid w:val="0027305C"/>
    <w:rsid w:val="00275CE4"/>
    <w:rsid w:val="00277EF3"/>
    <w:rsid w:val="002A453A"/>
    <w:rsid w:val="002B091F"/>
    <w:rsid w:val="002B3222"/>
    <w:rsid w:val="002C0E2D"/>
    <w:rsid w:val="002C2E6A"/>
    <w:rsid w:val="00303389"/>
    <w:rsid w:val="00311B87"/>
    <w:rsid w:val="003120DD"/>
    <w:rsid w:val="003126E8"/>
    <w:rsid w:val="0032229F"/>
    <w:rsid w:val="00330E02"/>
    <w:rsid w:val="003546C9"/>
    <w:rsid w:val="00354DAF"/>
    <w:rsid w:val="0037698B"/>
    <w:rsid w:val="00381D36"/>
    <w:rsid w:val="0038670C"/>
    <w:rsid w:val="003916C1"/>
    <w:rsid w:val="003A23D4"/>
    <w:rsid w:val="003C1186"/>
    <w:rsid w:val="003D6121"/>
    <w:rsid w:val="003E7D82"/>
    <w:rsid w:val="004066BF"/>
    <w:rsid w:val="004137B0"/>
    <w:rsid w:val="00414F13"/>
    <w:rsid w:val="00433F40"/>
    <w:rsid w:val="004447B6"/>
    <w:rsid w:val="0046208F"/>
    <w:rsid w:val="00471CD8"/>
    <w:rsid w:val="004843AC"/>
    <w:rsid w:val="004854B4"/>
    <w:rsid w:val="00494E1D"/>
    <w:rsid w:val="004A7551"/>
    <w:rsid w:val="004C38B0"/>
    <w:rsid w:val="004D016A"/>
    <w:rsid w:val="004D6F27"/>
    <w:rsid w:val="004F1A4F"/>
    <w:rsid w:val="004F29E3"/>
    <w:rsid w:val="004F40A1"/>
    <w:rsid w:val="004F4628"/>
    <w:rsid w:val="004F509F"/>
    <w:rsid w:val="005018CF"/>
    <w:rsid w:val="00503BAF"/>
    <w:rsid w:val="005057B4"/>
    <w:rsid w:val="00507D71"/>
    <w:rsid w:val="00533E2A"/>
    <w:rsid w:val="0053689D"/>
    <w:rsid w:val="005418EE"/>
    <w:rsid w:val="00542F9E"/>
    <w:rsid w:val="00543710"/>
    <w:rsid w:val="00555355"/>
    <w:rsid w:val="00561EF2"/>
    <w:rsid w:val="0057106D"/>
    <w:rsid w:val="00580402"/>
    <w:rsid w:val="00583AC5"/>
    <w:rsid w:val="00587B9F"/>
    <w:rsid w:val="005971BA"/>
    <w:rsid w:val="005A6728"/>
    <w:rsid w:val="005D512A"/>
    <w:rsid w:val="005D5155"/>
    <w:rsid w:val="005E5112"/>
    <w:rsid w:val="00607D8D"/>
    <w:rsid w:val="00612C4B"/>
    <w:rsid w:val="00622700"/>
    <w:rsid w:val="00626113"/>
    <w:rsid w:val="00631C84"/>
    <w:rsid w:val="006342CE"/>
    <w:rsid w:val="00643473"/>
    <w:rsid w:val="00643646"/>
    <w:rsid w:val="00647AA5"/>
    <w:rsid w:val="00653FE8"/>
    <w:rsid w:val="00656A9E"/>
    <w:rsid w:val="00673E14"/>
    <w:rsid w:val="00684A97"/>
    <w:rsid w:val="00687212"/>
    <w:rsid w:val="00694019"/>
    <w:rsid w:val="006A3014"/>
    <w:rsid w:val="006A6BC4"/>
    <w:rsid w:val="006C085F"/>
    <w:rsid w:val="00700FA6"/>
    <w:rsid w:val="0070243B"/>
    <w:rsid w:val="00706820"/>
    <w:rsid w:val="007140BB"/>
    <w:rsid w:val="007248B6"/>
    <w:rsid w:val="00726846"/>
    <w:rsid w:val="00740BD1"/>
    <w:rsid w:val="00780DCD"/>
    <w:rsid w:val="007828C0"/>
    <w:rsid w:val="007921C3"/>
    <w:rsid w:val="00792848"/>
    <w:rsid w:val="00793247"/>
    <w:rsid w:val="00794B00"/>
    <w:rsid w:val="007B7CAF"/>
    <w:rsid w:val="007C0576"/>
    <w:rsid w:val="007D6B0A"/>
    <w:rsid w:val="007E2A96"/>
    <w:rsid w:val="0080163C"/>
    <w:rsid w:val="008100CA"/>
    <w:rsid w:val="008125A3"/>
    <w:rsid w:val="00826F74"/>
    <w:rsid w:val="008366BA"/>
    <w:rsid w:val="008409CC"/>
    <w:rsid w:val="00842B13"/>
    <w:rsid w:val="00855571"/>
    <w:rsid w:val="00863CB6"/>
    <w:rsid w:val="00880E77"/>
    <w:rsid w:val="00885BA9"/>
    <w:rsid w:val="00892C5E"/>
    <w:rsid w:val="00897743"/>
    <w:rsid w:val="008B7840"/>
    <w:rsid w:val="008D0837"/>
    <w:rsid w:val="008E3C81"/>
    <w:rsid w:val="008F5E1B"/>
    <w:rsid w:val="00902613"/>
    <w:rsid w:val="0091406B"/>
    <w:rsid w:val="00920FAE"/>
    <w:rsid w:val="009274C9"/>
    <w:rsid w:val="00936C10"/>
    <w:rsid w:val="00946678"/>
    <w:rsid w:val="00970164"/>
    <w:rsid w:val="009771CD"/>
    <w:rsid w:val="00991657"/>
    <w:rsid w:val="0099187B"/>
    <w:rsid w:val="00997FFD"/>
    <w:rsid w:val="009B7016"/>
    <w:rsid w:val="009C3CC0"/>
    <w:rsid w:val="009C4F03"/>
    <w:rsid w:val="009E65D6"/>
    <w:rsid w:val="009F07E3"/>
    <w:rsid w:val="009F5D48"/>
    <w:rsid w:val="00A02C58"/>
    <w:rsid w:val="00A156BD"/>
    <w:rsid w:val="00A23C6D"/>
    <w:rsid w:val="00A35CFC"/>
    <w:rsid w:val="00A37707"/>
    <w:rsid w:val="00A37D66"/>
    <w:rsid w:val="00A429D4"/>
    <w:rsid w:val="00A43839"/>
    <w:rsid w:val="00A7297F"/>
    <w:rsid w:val="00A844E4"/>
    <w:rsid w:val="00AA5F4B"/>
    <w:rsid w:val="00AB2C5F"/>
    <w:rsid w:val="00AD7817"/>
    <w:rsid w:val="00AF0AFA"/>
    <w:rsid w:val="00AF2406"/>
    <w:rsid w:val="00B118CF"/>
    <w:rsid w:val="00B478EF"/>
    <w:rsid w:val="00B47A56"/>
    <w:rsid w:val="00B71E48"/>
    <w:rsid w:val="00B737B2"/>
    <w:rsid w:val="00B74278"/>
    <w:rsid w:val="00B77C51"/>
    <w:rsid w:val="00B850DA"/>
    <w:rsid w:val="00B86D3D"/>
    <w:rsid w:val="00B979C6"/>
    <w:rsid w:val="00BA3DCA"/>
    <w:rsid w:val="00BB1BCE"/>
    <w:rsid w:val="00BB484F"/>
    <w:rsid w:val="00BE1BB4"/>
    <w:rsid w:val="00BF14FE"/>
    <w:rsid w:val="00C020C4"/>
    <w:rsid w:val="00C03C8F"/>
    <w:rsid w:val="00C072B5"/>
    <w:rsid w:val="00C155F6"/>
    <w:rsid w:val="00C32DD5"/>
    <w:rsid w:val="00C33F60"/>
    <w:rsid w:val="00C42815"/>
    <w:rsid w:val="00C55167"/>
    <w:rsid w:val="00C56407"/>
    <w:rsid w:val="00C72E0D"/>
    <w:rsid w:val="00C734B5"/>
    <w:rsid w:val="00C82C50"/>
    <w:rsid w:val="00C8704C"/>
    <w:rsid w:val="00C94389"/>
    <w:rsid w:val="00C95B8B"/>
    <w:rsid w:val="00CA2A26"/>
    <w:rsid w:val="00CA3162"/>
    <w:rsid w:val="00CA4A78"/>
    <w:rsid w:val="00CB357C"/>
    <w:rsid w:val="00CC0824"/>
    <w:rsid w:val="00CD1B75"/>
    <w:rsid w:val="00CE7518"/>
    <w:rsid w:val="00D05198"/>
    <w:rsid w:val="00D24302"/>
    <w:rsid w:val="00D269FF"/>
    <w:rsid w:val="00D35055"/>
    <w:rsid w:val="00D3611E"/>
    <w:rsid w:val="00D4491B"/>
    <w:rsid w:val="00D571ED"/>
    <w:rsid w:val="00D75AF6"/>
    <w:rsid w:val="00D90A62"/>
    <w:rsid w:val="00D968A4"/>
    <w:rsid w:val="00DA0085"/>
    <w:rsid w:val="00DA4188"/>
    <w:rsid w:val="00DA4769"/>
    <w:rsid w:val="00DA6264"/>
    <w:rsid w:val="00DB0F3F"/>
    <w:rsid w:val="00DB0FA7"/>
    <w:rsid w:val="00DC1090"/>
    <w:rsid w:val="00DC3645"/>
    <w:rsid w:val="00DC3888"/>
    <w:rsid w:val="00DD4499"/>
    <w:rsid w:val="00DD4AAC"/>
    <w:rsid w:val="00DE3D34"/>
    <w:rsid w:val="00DE5213"/>
    <w:rsid w:val="00DE5702"/>
    <w:rsid w:val="00DF01ED"/>
    <w:rsid w:val="00DF4553"/>
    <w:rsid w:val="00E02FC4"/>
    <w:rsid w:val="00E31E21"/>
    <w:rsid w:val="00E50104"/>
    <w:rsid w:val="00E5012C"/>
    <w:rsid w:val="00E5313B"/>
    <w:rsid w:val="00E639E9"/>
    <w:rsid w:val="00E647F1"/>
    <w:rsid w:val="00E6514D"/>
    <w:rsid w:val="00E825A7"/>
    <w:rsid w:val="00E862A5"/>
    <w:rsid w:val="00E964A5"/>
    <w:rsid w:val="00EA21C1"/>
    <w:rsid w:val="00ED030C"/>
    <w:rsid w:val="00ED41FA"/>
    <w:rsid w:val="00EE49CB"/>
    <w:rsid w:val="00F03E34"/>
    <w:rsid w:val="00F17CD8"/>
    <w:rsid w:val="00F21D4C"/>
    <w:rsid w:val="00F3267B"/>
    <w:rsid w:val="00F3539A"/>
    <w:rsid w:val="00F440C0"/>
    <w:rsid w:val="00F46C9D"/>
    <w:rsid w:val="00F57689"/>
    <w:rsid w:val="00F60203"/>
    <w:rsid w:val="00F63E95"/>
    <w:rsid w:val="00F66927"/>
    <w:rsid w:val="00F74FCD"/>
    <w:rsid w:val="00F830D7"/>
    <w:rsid w:val="00F857BA"/>
    <w:rsid w:val="00F866F9"/>
    <w:rsid w:val="00F8760B"/>
    <w:rsid w:val="00F97905"/>
    <w:rsid w:val="00FA3F8B"/>
    <w:rsid w:val="00FA7640"/>
    <w:rsid w:val="00FB1E2B"/>
    <w:rsid w:val="00FB750E"/>
    <w:rsid w:val="00FC7958"/>
    <w:rsid w:val="00FD0040"/>
    <w:rsid w:val="00FD23A9"/>
    <w:rsid w:val="00FD5E5D"/>
    <w:rsid w:val="00FD6778"/>
    <w:rsid w:val="00FD6C96"/>
    <w:rsid w:val="015679D0"/>
    <w:rsid w:val="02397D9B"/>
    <w:rsid w:val="027C0AF3"/>
    <w:rsid w:val="066D0FB5"/>
    <w:rsid w:val="07794418"/>
    <w:rsid w:val="08670714"/>
    <w:rsid w:val="09154633"/>
    <w:rsid w:val="0BBC0D77"/>
    <w:rsid w:val="0C965A09"/>
    <w:rsid w:val="0CD23C0D"/>
    <w:rsid w:val="0E796568"/>
    <w:rsid w:val="135B0E75"/>
    <w:rsid w:val="136441CE"/>
    <w:rsid w:val="14730634"/>
    <w:rsid w:val="14D06153"/>
    <w:rsid w:val="1728739A"/>
    <w:rsid w:val="17606DE5"/>
    <w:rsid w:val="17AC1CA0"/>
    <w:rsid w:val="1F832C29"/>
    <w:rsid w:val="2572277A"/>
    <w:rsid w:val="29D94C15"/>
    <w:rsid w:val="2B1673AF"/>
    <w:rsid w:val="2C02237E"/>
    <w:rsid w:val="2CD72E09"/>
    <w:rsid w:val="2E070155"/>
    <w:rsid w:val="2EC456C9"/>
    <w:rsid w:val="306C6050"/>
    <w:rsid w:val="3437693D"/>
    <w:rsid w:val="36D2019E"/>
    <w:rsid w:val="3747333B"/>
    <w:rsid w:val="379876F3"/>
    <w:rsid w:val="38B92017"/>
    <w:rsid w:val="3C396779"/>
    <w:rsid w:val="3DCB2BE5"/>
    <w:rsid w:val="3DD516A1"/>
    <w:rsid w:val="468974CC"/>
    <w:rsid w:val="47B70069"/>
    <w:rsid w:val="4C883D82"/>
    <w:rsid w:val="4E524648"/>
    <w:rsid w:val="4EFB083B"/>
    <w:rsid w:val="50270E47"/>
    <w:rsid w:val="5239458A"/>
    <w:rsid w:val="54E413A6"/>
    <w:rsid w:val="585F3F16"/>
    <w:rsid w:val="59A062F0"/>
    <w:rsid w:val="5BFD1122"/>
    <w:rsid w:val="60DD2497"/>
    <w:rsid w:val="6135490B"/>
    <w:rsid w:val="63E267B3"/>
    <w:rsid w:val="640F6E0B"/>
    <w:rsid w:val="68A738EC"/>
    <w:rsid w:val="68F62348"/>
    <w:rsid w:val="6D7C1C84"/>
    <w:rsid w:val="6DD67C11"/>
    <w:rsid w:val="6F72024E"/>
    <w:rsid w:val="7047716A"/>
    <w:rsid w:val="70981F36"/>
    <w:rsid w:val="7185070D"/>
    <w:rsid w:val="71DB657E"/>
    <w:rsid w:val="72A03570"/>
    <w:rsid w:val="72D57472"/>
    <w:rsid w:val="72FA24A4"/>
    <w:rsid w:val="73DE5EB2"/>
    <w:rsid w:val="75D8762F"/>
    <w:rsid w:val="77862097"/>
    <w:rsid w:val="78DF32BA"/>
    <w:rsid w:val="794744F9"/>
    <w:rsid w:val="7C2E19A1"/>
    <w:rsid w:val="7CDE5175"/>
    <w:rsid w:val="7E6B6E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pPr>
      <w:adjustRightInd w:val="0"/>
      <w:textAlignment w:val="baseline"/>
    </w:pPr>
    <w:rPr>
      <w:spacing w:val="-2"/>
      <w:kern w:val="28"/>
    </w:rPr>
  </w:style>
  <w:style w:type="paragraph" w:styleId="3">
    <w:name w:val="Balloon Text"/>
    <w:basedOn w:val="1"/>
    <w:link w:val="14"/>
    <w:semiHidden/>
    <w:unhideWhenUsed/>
    <w:qFormat/>
    <w:uiPriority w:val="99"/>
    <w:rPr>
      <w:sz w:val="18"/>
      <w:szCs w:val="18"/>
    </w:rPr>
  </w:style>
  <w:style w:type="paragraph" w:styleId="4">
    <w:name w:val="footer"/>
    <w:basedOn w:val="1"/>
    <w:link w:val="16"/>
    <w:unhideWhenUsed/>
    <w:qFormat/>
    <w:uiPriority w:val="99"/>
    <w:pPr>
      <w:tabs>
        <w:tab w:val="center" w:pos="4153"/>
        <w:tab w:val="right" w:pos="8306"/>
      </w:tabs>
      <w:snapToGrid w:val="0"/>
      <w:jc w:val="left"/>
    </w:pPr>
    <w:rPr>
      <w:sz w:val="18"/>
      <w:szCs w:val="18"/>
    </w:rPr>
  </w:style>
  <w:style w:type="paragraph" w:styleId="5">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qFormat/>
    <w:uiPriority w:val="0"/>
    <w:rPr>
      <w:rFonts w:ascii="Times New Roman" w:hAnsi="Times New Roman"/>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Hyperlink"/>
    <w:basedOn w:val="9"/>
    <w:unhideWhenUsed/>
    <w:qFormat/>
    <w:uiPriority w:val="99"/>
    <w:rPr>
      <w:color w:val="0563C1" w:themeColor="hyperlink"/>
      <w:u w:val="single"/>
      <w14:textFill>
        <w14:solidFill>
          <w14:schemeClr w14:val="hlink"/>
        </w14:solidFill>
      </w14:textFill>
    </w:rPr>
  </w:style>
  <w:style w:type="paragraph" w:customStyle="1" w:styleId="11">
    <w:name w:val="表格"/>
    <w:basedOn w:val="12"/>
    <w:next w:val="1"/>
    <w:unhideWhenUsed/>
    <w:qFormat/>
    <w:uiPriority w:val="1"/>
    <w:pPr>
      <w:jc w:val="center"/>
    </w:pPr>
    <w:rPr>
      <w:rFonts w:ascii="Times New Roman" w:eastAsia="宋体" w:cs="宋体"/>
      <w:snapToGrid w:val="0"/>
    </w:rPr>
  </w:style>
  <w:style w:type="paragraph" w:customStyle="1" w:styleId="12">
    <w:name w:val="表格格式"/>
    <w:basedOn w:val="1"/>
    <w:qFormat/>
    <w:uiPriority w:val="99"/>
    <w:rPr>
      <w:rFonts w:ascii="仿宋_GB2312" w:hAnsi="Times New Roman" w:eastAsia="仿宋_GB2312"/>
      <w:bCs/>
      <w:color w:val="000000"/>
      <w:szCs w:val="21"/>
    </w:rPr>
  </w:style>
  <w:style w:type="paragraph" w:customStyle="1" w:styleId="13">
    <w:name w:val="p"/>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4">
    <w:name w:val="批注框文本 Char"/>
    <w:basedOn w:val="9"/>
    <w:link w:val="3"/>
    <w:semiHidden/>
    <w:qFormat/>
    <w:uiPriority w:val="99"/>
    <w:rPr>
      <w:sz w:val="18"/>
      <w:szCs w:val="18"/>
    </w:rPr>
  </w:style>
  <w:style w:type="character" w:customStyle="1" w:styleId="15">
    <w:name w:val="页眉 Char"/>
    <w:basedOn w:val="9"/>
    <w:link w:val="5"/>
    <w:qFormat/>
    <w:uiPriority w:val="99"/>
    <w:rPr>
      <w:sz w:val="18"/>
      <w:szCs w:val="18"/>
    </w:rPr>
  </w:style>
  <w:style w:type="character" w:customStyle="1" w:styleId="16">
    <w:name w:val="页脚 Char"/>
    <w:basedOn w:val="9"/>
    <w:link w:val="4"/>
    <w:qFormat/>
    <w:uiPriority w:val="99"/>
    <w:rPr>
      <w:sz w:val="18"/>
      <w:szCs w:val="18"/>
    </w:rPr>
  </w:style>
  <w:style w:type="paragraph" w:styleId="17">
    <w:name w:val="List Paragraph"/>
    <w:basedOn w:val="1"/>
    <w:qFormat/>
    <w:uiPriority w:val="34"/>
    <w:pPr>
      <w:spacing w:before="186"/>
      <w:ind w:left="2557" w:hanging="853"/>
    </w:pPr>
    <w:rPr>
      <w:rFonts w:ascii="宋体" w:hAnsi="宋体" w:eastAsia="宋体" w:cs="宋体"/>
      <w:szCs w:val="24"/>
      <w:lang w:val="zh-CN" w:bidi="zh-CN"/>
    </w:rPr>
  </w:style>
  <w:style w:type="character" w:customStyle="1" w:styleId="18">
    <w:name w:val="font41"/>
    <w:basedOn w:val="9"/>
    <w:qFormat/>
    <w:uiPriority w:val="0"/>
    <w:rPr>
      <w:rFonts w:hint="default" w:ascii="Times New Roman" w:hAnsi="Times New Roman" w:cs="Times New Roman"/>
      <w:b/>
      <w:bCs/>
      <w:color w:val="000000"/>
      <w:sz w:val="24"/>
      <w:szCs w:val="24"/>
      <w:u w:val="none"/>
    </w:rPr>
  </w:style>
  <w:style w:type="character" w:customStyle="1" w:styleId="19">
    <w:name w:val="font31"/>
    <w:basedOn w:val="9"/>
    <w:qFormat/>
    <w:uiPriority w:val="0"/>
    <w:rPr>
      <w:rFonts w:hint="eastAsia" w:ascii="宋体" w:hAnsi="宋体" w:eastAsia="宋体" w:cs="宋体"/>
      <w:b/>
      <w:bCs/>
      <w:color w:val="000000"/>
      <w:sz w:val="24"/>
      <w:szCs w:val="24"/>
      <w:u w:val="none"/>
    </w:rPr>
  </w:style>
  <w:style w:type="character" w:customStyle="1" w:styleId="20">
    <w:name w:val="font21"/>
    <w:basedOn w:val="9"/>
    <w:qFormat/>
    <w:uiPriority w:val="0"/>
    <w:rPr>
      <w:rFonts w:hint="default" w:ascii="Times New Roman" w:hAnsi="Times New Roman" w:cs="Times New Roman"/>
      <w:color w:val="000000"/>
      <w:sz w:val="24"/>
      <w:szCs w:val="24"/>
      <w:u w:val="none"/>
    </w:rPr>
  </w:style>
  <w:style w:type="character" w:customStyle="1" w:styleId="21">
    <w:name w:val="font5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1</Pages>
  <Words>1071</Words>
  <Characters>1168</Characters>
  <Lines>6</Lines>
  <Paragraphs>1</Paragraphs>
  <TotalTime>1</TotalTime>
  <ScaleCrop>false</ScaleCrop>
  <LinksUpToDate>false</LinksUpToDate>
  <CharactersWithSpaces>1175</CharactersWithSpaces>
  <Application>WPS Office_12.1.0.25835_F1E327BC-269C-435d-A152-05C5408002CA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2017-05-03T02:43:00Z</dcterms:created>
  <dc:creator>Scar</dc:creator>
  <cp:lastModifiedBy>然后呢ne</cp:lastModifiedBy>
  <cp:lastPrinted>2017-05-03T03:07:00Z</cp:lastPrinted>
  <dcterms:modified xsi:type="dcterms:W3CDTF">2026-04-09T01:23:41Z</dcterms:modified>
  <cp:revision>161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75D3375D57AF43F8893E7CA736F286E8_13</vt:lpwstr>
  </property>
  <property fmtid="{D5CDD505-2E9C-101B-9397-08002B2CF9AE}" pid="4" name="KSOTemplateDocerSaveRecord">
    <vt:lpwstr>eyJoZGlkIjoiNzllYTBkNjA2MDczZjg3MzI5OWU0Mjc2NzMzNTAyZDAiLCJ1c2VySWQiOiIxMzYzNjk0NiJ9</vt:lpwstr>
  </property>
</Properties>
</file>