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15630" w:type="dxa"/>
        <w:tblInd w:w="93" w:type="dxa"/>
        <w:tblLayout w:type="fixed"/>
        <w:tblCellMar>
          <w:top w:w="0" w:type="dxa"/>
          <w:left w:w="108" w:type="dxa"/>
          <w:bottom w:w="0" w:type="dxa"/>
          <w:right w:w="108" w:type="dxa"/>
        </w:tblCellMar>
      </w:tblPr>
      <w:tblGrid>
        <w:gridCol w:w="457"/>
        <w:gridCol w:w="884"/>
        <w:gridCol w:w="1077"/>
        <w:gridCol w:w="780"/>
        <w:gridCol w:w="960"/>
        <w:gridCol w:w="4530"/>
        <w:gridCol w:w="6062"/>
        <w:gridCol w:w="880"/>
      </w:tblGrid>
      <w:tr w14:paraId="0BA48DA4">
        <w:tblPrEx>
          <w:tblCellMar>
            <w:top w:w="0" w:type="dxa"/>
            <w:left w:w="108" w:type="dxa"/>
            <w:bottom w:w="0" w:type="dxa"/>
            <w:right w:w="108" w:type="dxa"/>
          </w:tblCellMar>
        </w:tblPrEx>
        <w:trPr>
          <w:trHeight w:val="631"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1A129F">
            <w:pPr>
              <w:widowControl/>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呼伦贝尔市生态环境局额尔古纳市分局关于</w:t>
            </w:r>
            <w:r>
              <w:rPr>
                <w:rFonts w:ascii="Times New Roman" w:hAnsi="Times New Roman" w:eastAsia="宋体" w:cs="Times New Roman"/>
                <w:b/>
                <w:bCs/>
                <w:color w:val="auto"/>
                <w:sz w:val="24"/>
                <w:szCs w:val="24"/>
                <w:highlight w:val="none"/>
              </w:rPr>
              <w:t>202</w:t>
            </w:r>
            <w:r>
              <w:rPr>
                <w:rFonts w:hint="eastAsia" w:ascii="Times New Roman" w:hAnsi="Times New Roman" w:eastAsia="宋体" w:cs="Times New Roman"/>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rPr>
              <w:t>受理建设项目</w:t>
            </w:r>
            <w:bookmarkStart w:id="0" w:name="OLE_LINK1"/>
            <w:r>
              <w:rPr>
                <w:rFonts w:hint="eastAsia" w:ascii="宋体" w:hAnsi="宋体" w:eastAsia="宋体" w:cs="宋体"/>
                <w:b/>
                <w:bCs/>
                <w:color w:val="auto"/>
                <w:sz w:val="24"/>
                <w:szCs w:val="24"/>
                <w:highlight w:val="none"/>
              </w:rPr>
              <w:t>环评拟审批决定的公示</w:t>
            </w:r>
            <w:bookmarkEnd w:id="0"/>
          </w:p>
        </w:tc>
      </w:tr>
      <w:tr w14:paraId="1F44B335">
        <w:tblPrEx>
          <w:tblCellMar>
            <w:top w:w="0" w:type="dxa"/>
            <w:left w:w="108" w:type="dxa"/>
            <w:bottom w:w="0" w:type="dxa"/>
            <w:right w:w="108" w:type="dxa"/>
          </w:tblCellMar>
        </w:tblPrEx>
        <w:trPr>
          <w:trHeight w:val="1779"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054708">
            <w:pPr>
              <w:widowControl/>
              <w:ind w:firstLine="480" w:firstLineChars="200"/>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根据建设项目环境影响评价审批程序的有关规定，经审查，我局拟对</w:t>
            </w:r>
            <w:r>
              <w:rPr>
                <w:rFonts w:ascii="Times New Roman" w:hAnsi="Times New Roman" w:eastAsia="宋体" w:cs="Times New Roman"/>
                <w:color w:val="auto"/>
                <w:sz w:val="24"/>
                <w:szCs w:val="24"/>
                <w:highlight w:val="none"/>
              </w:rPr>
              <w:t>202</w:t>
            </w:r>
            <w:r>
              <w:rPr>
                <w:rFonts w:hint="eastAsia" w:ascii="Times New Roman" w:hAnsi="Times New Roman" w:eastAsia="宋体" w:cs="Times New Roman"/>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30</w:t>
            </w:r>
            <w:bookmarkStart w:id="3" w:name="_GoBack"/>
            <w:bookmarkEnd w:id="3"/>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日受理的建设项目环评作出审批意见。为保证该行政许可的严肃性和公正性，现将拟通过审批的环境影响评价文件基本情况予以公示，公示期为自公示起开始</w:t>
            </w:r>
            <w:r>
              <w:rPr>
                <w:rFonts w:ascii="Times New Roman" w:hAnsi="Times New Roman" w:eastAsia="宋体" w:cs="Times New Roman"/>
                <w:color w:val="auto"/>
                <w:sz w:val="24"/>
                <w:szCs w:val="24"/>
                <w:highlight w:val="none"/>
              </w:rPr>
              <w:t>5</w:t>
            </w:r>
            <w:r>
              <w:rPr>
                <w:rFonts w:hint="eastAsia" w:ascii="宋体" w:hAnsi="宋体" w:eastAsia="宋体" w:cs="宋体"/>
                <w:color w:val="auto"/>
                <w:sz w:val="24"/>
                <w:szCs w:val="24"/>
                <w:highlight w:val="none"/>
              </w:rPr>
              <w:t>个工作日。听证权利告知：依据《中华人民共和国行政许可法》，自公示起五日内申请人、利害关系人可对以下拟作出的建设项目环境影响评价文件审批意见要求听证。</w:t>
            </w:r>
            <w:r>
              <w:rPr>
                <w:rFonts w:ascii="Times New Roman" w:hAnsi="Times New Roman" w:eastAsia="宋体" w:cs="Times New Roman"/>
                <w:color w:val="auto"/>
                <w:sz w:val="24"/>
                <w:szCs w:val="24"/>
                <w:highlight w:val="none"/>
              </w:rPr>
              <w:br w:type="textWrapping"/>
            </w:r>
            <w:r>
              <w:rPr>
                <w:rFonts w:hint="eastAsia" w:ascii="宋体" w:hAnsi="宋体" w:eastAsia="宋体" w:cs="宋体"/>
                <w:color w:val="auto"/>
                <w:sz w:val="24"/>
                <w:szCs w:val="24"/>
                <w:highlight w:val="none"/>
              </w:rPr>
              <w:t>联系电话：</w:t>
            </w:r>
            <w:r>
              <w:rPr>
                <w:rFonts w:ascii="Times New Roman" w:hAnsi="Times New Roman" w:eastAsia="宋体" w:cs="Times New Roman"/>
                <w:color w:val="auto"/>
                <w:sz w:val="24"/>
                <w:szCs w:val="24"/>
                <w:highlight w:val="none"/>
              </w:rPr>
              <w:t xml:space="preserve">0470-6801566 </w:t>
            </w:r>
            <w:r>
              <w:rPr>
                <w:rFonts w:hint="eastAsia" w:ascii="宋体" w:hAnsi="宋体" w:eastAsia="宋体" w:cs="宋体"/>
                <w:color w:val="auto"/>
                <w:sz w:val="24"/>
                <w:szCs w:val="24"/>
                <w:highlight w:val="none"/>
              </w:rPr>
              <w:t>传</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真：</w:t>
            </w:r>
            <w:r>
              <w:rPr>
                <w:rFonts w:ascii="Times New Roman" w:hAnsi="Times New Roman" w:eastAsia="宋体" w:cs="Times New Roman"/>
                <w:color w:val="auto"/>
                <w:sz w:val="24"/>
                <w:szCs w:val="24"/>
                <w:highlight w:val="none"/>
              </w:rPr>
              <w:t>0470-6801566</w:t>
            </w:r>
            <w:r>
              <w:rPr>
                <w:rFonts w:hint="eastAsia" w:ascii="宋体" w:hAnsi="宋体" w:eastAsia="宋体" w:cs="宋体"/>
                <w:color w:val="auto"/>
                <w:sz w:val="24"/>
                <w:szCs w:val="24"/>
                <w:highlight w:val="none"/>
              </w:rPr>
              <w:t>通讯地址：额尔古纳市拉布大林街道办事处额尔古纳大街</w:t>
            </w:r>
            <w:r>
              <w:rPr>
                <w:rFonts w:ascii="Times New Roman" w:hAnsi="Times New Roman" w:eastAsia="宋体" w:cs="Times New Roman"/>
                <w:color w:val="auto"/>
                <w:sz w:val="24"/>
                <w:szCs w:val="24"/>
                <w:highlight w:val="none"/>
              </w:rPr>
              <w:t>63</w:t>
            </w:r>
            <w:r>
              <w:rPr>
                <w:rFonts w:hint="eastAsia" w:ascii="宋体" w:hAnsi="宋体" w:eastAsia="宋体" w:cs="宋体"/>
                <w:color w:val="auto"/>
                <w:sz w:val="24"/>
                <w:szCs w:val="24"/>
                <w:highlight w:val="none"/>
              </w:rPr>
              <w:t>号</w:t>
            </w:r>
            <w:r>
              <w:rPr>
                <w:rFonts w:ascii="Times New Roman" w:hAnsi="Times New Roman" w:eastAsia="宋体" w:cs="Times New Roman"/>
                <w:color w:val="auto"/>
                <w:sz w:val="24"/>
                <w:szCs w:val="24"/>
                <w:highlight w:val="none"/>
              </w:rPr>
              <w:t>-</w:t>
            </w:r>
            <w:r>
              <w:rPr>
                <w:rFonts w:hint="eastAsia" w:ascii="宋体" w:hAnsi="宋体" w:eastAsia="宋体" w:cs="宋体"/>
                <w:color w:val="auto"/>
                <w:sz w:val="24"/>
                <w:szCs w:val="24"/>
                <w:highlight w:val="none"/>
              </w:rPr>
              <w:t>呼伦贝尔市生态环境局额尔古纳市分局</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邮</w:t>
            </w:r>
            <w:r>
              <w:rPr>
                <w:rFonts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编：</w:t>
            </w:r>
            <w:r>
              <w:rPr>
                <w:rFonts w:ascii="Times New Roman" w:hAnsi="Times New Roman" w:eastAsia="宋体" w:cs="Times New Roman"/>
                <w:color w:val="auto"/>
                <w:sz w:val="24"/>
                <w:szCs w:val="24"/>
                <w:highlight w:val="none"/>
              </w:rPr>
              <w:t>022250</w:t>
            </w:r>
          </w:p>
        </w:tc>
      </w:tr>
      <w:tr w14:paraId="47494791">
        <w:tblPrEx>
          <w:tblCellMar>
            <w:top w:w="0" w:type="dxa"/>
            <w:left w:w="108" w:type="dxa"/>
            <w:bottom w:w="0" w:type="dxa"/>
            <w:right w:w="108" w:type="dxa"/>
          </w:tblCellMar>
        </w:tblPrEx>
        <w:trPr>
          <w:trHeight w:val="74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1D0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序号</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46B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项目名称</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6975">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建设地点</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ED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建设单位</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8DF7">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环境影响评价机构</w:t>
            </w:r>
          </w:p>
        </w:tc>
        <w:tc>
          <w:tcPr>
            <w:tcW w:w="4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6E6B">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项目概况</w:t>
            </w:r>
          </w:p>
        </w:tc>
        <w:tc>
          <w:tcPr>
            <w:tcW w:w="6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72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削减生态环境影响的主要污染防治措施</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A0B6">
            <w:pPr>
              <w:widowControl/>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公众参与情况</w:t>
            </w:r>
          </w:p>
        </w:tc>
      </w:tr>
      <w:tr w14:paraId="75E2701F">
        <w:tblPrEx>
          <w:tblCellMar>
            <w:top w:w="0" w:type="dxa"/>
            <w:left w:w="108" w:type="dxa"/>
            <w:bottom w:w="0" w:type="dxa"/>
            <w:right w:w="108" w:type="dxa"/>
          </w:tblCellMar>
        </w:tblPrEx>
        <w:trPr>
          <w:trHeight w:val="11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ECE3">
            <w:pPr>
              <w:widowControl/>
              <w:jc w:val="center"/>
              <w:textAlignment w:val="center"/>
              <w:rPr>
                <w:rFonts w:ascii="Times New Roman" w:hAnsi="Times New Roman" w:eastAsia="宋体" w:cs="Times New Roman"/>
                <w:color w:val="000000"/>
                <w:sz w:val="24"/>
                <w:szCs w:val="24"/>
              </w:rPr>
            </w:pPr>
            <w:bookmarkStart w:id="1" w:name="OLE_LINK2" w:colFirst="1" w:colLast="2"/>
            <w:r>
              <w:rPr>
                <w:rFonts w:ascii="Times New Roman" w:hAnsi="Times New Roman" w:eastAsia="宋体" w:cs="Times New Roman"/>
                <w:color w:val="000000"/>
                <w:kern w:val="0"/>
                <w:sz w:val="24"/>
                <w:szCs w:val="24"/>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F9B3">
            <w:pPr>
              <w:spacing w:line="400" w:lineRule="exact"/>
              <w:jc w:val="center"/>
              <w:rPr>
                <w:rFonts w:ascii="Times New Roman" w:hAnsi="Times New Roman" w:cs="Times New Roman" w:eastAsiaTheme="majorEastAsia"/>
                <w:szCs w:val="21"/>
              </w:rPr>
            </w:pPr>
            <w:r>
              <w:rPr>
                <w:rFonts w:hint="eastAsia" w:ascii="Times New Roman" w:hAnsi="Times New Roman" w:cs="Times New Roman" w:eastAsiaTheme="majorEastAsia"/>
                <w:szCs w:val="21"/>
                <w:lang w:val="en-US" w:eastAsia="zh-CN"/>
              </w:rPr>
              <w:t>额尔古纳市莫尔道嘎镇饮水安全改扩建工程建设项目</w:t>
            </w:r>
          </w:p>
          <w:p w14:paraId="4BAD0035">
            <w:pPr>
              <w:spacing w:line="400" w:lineRule="exact"/>
              <w:jc w:val="center"/>
              <w:rPr>
                <w:rFonts w:ascii="宋体" w:hAnsi="宋体" w:eastAsia="宋体" w:cs="宋体"/>
                <w:color w:val="000000"/>
                <w:szCs w:val="21"/>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8376">
            <w:pPr>
              <w:spacing w:line="400" w:lineRule="exact"/>
              <w:jc w:val="center"/>
              <w:rPr>
                <w:rFonts w:ascii="Times New Roman" w:hAnsi="Times New Roman" w:cs="Times New Roman" w:eastAsiaTheme="majorEastAsia"/>
                <w:szCs w:val="21"/>
              </w:rPr>
            </w:pPr>
            <w:r>
              <w:rPr>
                <w:rFonts w:hint="eastAsia" w:ascii="Times New Roman" w:hAnsi="Times New Roman" w:cs="Times New Roman" w:eastAsiaTheme="majorEastAsia"/>
                <w:szCs w:val="21"/>
                <w:lang w:val="en-US" w:eastAsia="zh-CN"/>
              </w:rPr>
              <w:t>内蒙古自治区呼伦贝尔市额尔古纳市莫尔道嘎镇</w:t>
            </w:r>
          </w:p>
          <w:p w14:paraId="29729442">
            <w:pPr>
              <w:spacing w:line="400" w:lineRule="exact"/>
              <w:jc w:val="center"/>
              <w:rPr>
                <w:rFonts w:ascii="宋体" w:hAnsi="宋体" w:eastAsia="宋体" w:cs="宋体"/>
                <w:color w:val="000000"/>
                <w:szCs w:val="21"/>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AAF0">
            <w:pPr>
              <w:spacing w:line="400" w:lineRule="exact"/>
              <w:jc w:val="center"/>
              <w:rPr>
                <w:rFonts w:hint="default" w:ascii="宋体" w:hAnsi="宋体" w:eastAsia="宋体" w:cs="宋体"/>
                <w:color w:val="000000"/>
                <w:szCs w:val="21"/>
                <w:lang w:val="en-US" w:eastAsia="zh-CN"/>
              </w:rPr>
            </w:pPr>
            <w:r>
              <w:rPr>
                <w:rFonts w:hint="eastAsia" w:ascii="宋体" w:hAnsi="宋体" w:eastAsia="宋体" w:cs="宋体"/>
                <w:sz w:val="21"/>
                <w:szCs w:val="21"/>
                <w:u w:val="none"/>
                <w:lang w:val="en-US" w:eastAsia="zh-CN"/>
              </w:rPr>
              <w:t>额尔古纳市水利局</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E116">
            <w:pPr>
              <w:spacing w:line="400" w:lineRule="exact"/>
              <w:jc w:val="center"/>
              <w:rPr>
                <w:rFonts w:hint="eastAsia" w:ascii="宋体" w:hAnsi="宋体" w:eastAsia="宋体" w:cs="宋体"/>
                <w:color w:val="000000"/>
                <w:szCs w:val="21"/>
                <w:lang w:eastAsia="zh-CN"/>
              </w:rPr>
            </w:pPr>
            <w:r>
              <w:rPr>
                <w:rFonts w:hint="eastAsia"/>
                <w:color w:val="auto"/>
                <w:lang w:val="en-US" w:eastAsia="zh-CN"/>
              </w:rPr>
              <w:t>内蒙古运银环保科技有限公司</w:t>
            </w:r>
          </w:p>
        </w:tc>
        <w:tc>
          <w:tcPr>
            <w:tcW w:w="4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33B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Times New Roman" w:hAnsi="Times New Roman" w:cs="Times New Roman" w:eastAsiaTheme="majorEastAsia"/>
                <w:szCs w:val="21"/>
              </w:rPr>
            </w:pPr>
            <w:r>
              <w:rPr>
                <w:rFonts w:hint="eastAsia" w:ascii="Times New Roman" w:hAnsi="Times New Roman" w:cs="Times New Roman" w:eastAsiaTheme="majorEastAsia"/>
                <w:szCs w:val="21"/>
                <w:lang w:val="en-US" w:eastAsia="zh-CN"/>
              </w:rPr>
              <w:t>本项目建设内容为：</w:t>
            </w:r>
          </w:p>
          <w:p w14:paraId="529A159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Times New Roman" w:hAnsi="Times New Roman" w:cs="Times New Roman" w:eastAsiaTheme="majorEastAsia"/>
                <w:szCs w:val="21"/>
              </w:rPr>
            </w:pPr>
            <w:r>
              <w:rPr>
                <w:rFonts w:hint="default" w:ascii="Times New Roman" w:hAnsi="Times New Roman" w:cs="Times New Roman" w:eastAsiaTheme="majorEastAsia"/>
                <w:szCs w:val="21"/>
                <w:lang w:val="en-US" w:eastAsia="zh-CN"/>
              </w:rPr>
              <w:t>1</w:t>
            </w:r>
            <w:r>
              <w:rPr>
                <w:rFonts w:hint="eastAsia" w:ascii="Times New Roman" w:hAnsi="Times New Roman" w:cs="Times New Roman" w:eastAsiaTheme="majorEastAsia"/>
                <w:szCs w:val="21"/>
                <w:lang w:val="en-US" w:eastAsia="zh-CN"/>
              </w:rPr>
              <w:t>、主要为拆除原有水厂，新建</w:t>
            </w:r>
            <w:r>
              <w:rPr>
                <w:rFonts w:hint="default" w:ascii="Times New Roman" w:hAnsi="Times New Roman" w:cs="Times New Roman" w:eastAsiaTheme="majorEastAsia"/>
                <w:szCs w:val="21"/>
                <w:lang w:val="en-US" w:eastAsia="zh-CN"/>
              </w:rPr>
              <w:t>1</w:t>
            </w:r>
            <w:r>
              <w:rPr>
                <w:rFonts w:hint="eastAsia" w:ascii="Times New Roman" w:hAnsi="Times New Roman" w:cs="Times New Roman" w:eastAsiaTheme="majorEastAsia"/>
                <w:szCs w:val="21"/>
                <w:lang w:val="en-US" w:eastAsia="zh-CN"/>
              </w:rPr>
              <w:t>座水厂，建筑面积为</w:t>
            </w:r>
            <w:r>
              <w:rPr>
                <w:rFonts w:hint="default" w:ascii="Times New Roman" w:hAnsi="Times New Roman" w:cs="Times New Roman" w:eastAsiaTheme="majorEastAsia"/>
                <w:szCs w:val="21"/>
                <w:lang w:val="en-US" w:eastAsia="zh-CN"/>
              </w:rPr>
              <w:t>693.94m2</w:t>
            </w:r>
            <w:r>
              <w:rPr>
                <w:rFonts w:hint="eastAsia" w:ascii="Times New Roman" w:hAnsi="Times New Roman" w:cs="Times New Roman" w:eastAsiaTheme="majorEastAsia"/>
                <w:szCs w:val="21"/>
                <w:lang w:val="en-US" w:eastAsia="zh-CN"/>
              </w:rPr>
              <w:t>，包括设备厂房、锅炉房、水处理设备间及泵房等；</w:t>
            </w:r>
          </w:p>
          <w:p w14:paraId="5E70ED6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Times New Roman" w:hAnsi="Times New Roman" w:cs="Times New Roman" w:eastAsiaTheme="majorEastAsia"/>
                <w:szCs w:val="21"/>
              </w:rPr>
            </w:pPr>
            <w:r>
              <w:rPr>
                <w:rFonts w:hint="default" w:ascii="Times New Roman" w:hAnsi="Times New Roman" w:cs="Times New Roman" w:eastAsiaTheme="majorEastAsia"/>
                <w:szCs w:val="21"/>
                <w:lang w:val="en-US" w:eastAsia="zh-CN"/>
              </w:rPr>
              <w:t>2</w:t>
            </w:r>
            <w:r>
              <w:rPr>
                <w:rFonts w:hint="eastAsia" w:ascii="Times New Roman" w:hAnsi="Times New Roman" w:cs="Times New Roman" w:eastAsiaTheme="majorEastAsia"/>
                <w:szCs w:val="21"/>
                <w:lang w:val="en-US" w:eastAsia="zh-CN"/>
              </w:rPr>
              <w:t>、新建</w:t>
            </w:r>
            <w:r>
              <w:rPr>
                <w:rFonts w:hint="default" w:ascii="Times New Roman" w:hAnsi="Times New Roman" w:cs="Times New Roman" w:eastAsiaTheme="majorEastAsia"/>
                <w:szCs w:val="21"/>
                <w:lang w:val="en-US" w:eastAsia="zh-CN"/>
              </w:rPr>
              <w:t>3</w:t>
            </w:r>
            <w:r>
              <w:rPr>
                <w:rFonts w:hint="eastAsia" w:ascii="Times New Roman" w:hAnsi="Times New Roman" w:cs="Times New Roman" w:eastAsiaTheme="majorEastAsia"/>
                <w:szCs w:val="21"/>
                <w:lang w:val="en-US" w:eastAsia="zh-CN"/>
              </w:rPr>
              <w:t>眼水源井，钻孔终孔孔径</w:t>
            </w:r>
            <w:r>
              <w:rPr>
                <w:rFonts w:hint="default" w:ascii="Times New Roman" w:hAnsi="Times New Roman" w:cs="Times New Roman" w:eastAsiaTheme="majorEastAsia"/>
                <w:szCs w:val="21"/>
                <w:lang w:val="en-US" w:eastAsia="zh-CN"/>
              </w:rPr>
              <w:t>400mm</w:t>
            </w:r>
            <w:r>
              <w:rPr>
                <w:rFonts w:hint="eastAsia" w:ascii="Times New Roman" w:hAnsi="Times New Roman" w:cs="Times New Roman" w:eastAsiaTheme="majorEastAsia"/>
                <w:szCs w:val="21"/>
                <w:lang w:val="en-US" w:eastAsia="zh-CN"/>
              </w:rPr>
              <w:t>，设计井壁管为钢管，井管直径</w:t>
            </w:r>
            <w:r>
              <w:rPr>
                <w:rFonts w:hint="default" w:ascii="Times New Roman" w:hAnsi="Times New Roman" w:cs="Times New Roman" w:eastAsiaTheme="majorEastAsia"/>
                <w:szCs w:val="21"/>
                <w:lang w:val="en-US" w:eastAsia="zh-CN"/>
              </w:rPr>
              <w:t>273mm</w:t>
            </w:r>
            <w:r>
              <w:rPr>
                <w:rFonts w:hint="eastAsia" w:ascii="Times New Roman" w:hAnsi="Times New Roman" w:cs="Times New Roman" w:eastAsiaTheme="majorEastAsia"/>
                <w:szCs w:val="21"/>
                <w:lang w:val="en-US" w:eastAsia="zh-CN"/>
              </w:rPr>
              <w:t>，壁厚</w:t>
            </w:r>
            <w:r>
              <w:rPr>
                <w:rFonts w:hint="default" w:ascii="Times New Roman" w:hAnsi="Times New Roman" w:cs="Times New Roman" w:eastAsiaTheme="majorEastAsia"/>
                <w:szCs w:val="21"/>
                <w:lang w:val="en-US" w:eastAsia="zh-CN"/>
              </w:rPr>
              <w:t>6mm</w:t>
            </w:r>
            <w:r>
              <w:rPr>
                <w:rFonts w:hint="eastAsia" w:ascii="Times New Roman" w:hAnsi="Times New Roman" w:cs="Times New Roman" w:eastAsiaTheme="majorEastAsia"/>
                <w:szCs w:val="21"/>
                <w:lang w:val="en-US" w:eastAsia="zh-CN"/>
              </w:rPr>
              <w:t>，单井出水量</w:t>
            </w:r>
            <w:r>
              <w:rPr>
                <w:rFonts w:hint="default" w:ascii="Times New Roman" w:hAnsi="Times New Roman" w:cs="Times New Roman" w:eastAsiaTheme="majorEastAsia"/>
                <w:szCs w:val="21"/>
                <w:lang w:val="en-US" w:eastAsia="zh-CN"/>
              </w:rPr>
              <w:t>34.66m3/h</w:t>
            </w:r>
            <w:r>
              <w:rPr>
                <w:rFonts w:hint="eastAsia" w:ascii="Times New Roman" w:hAnsi="Times New Roman" w:cs="Times New Roman" w:eastAsiaTheme="majorEastAsia"/>
                <w:szCs w:val="21"/>
                <w:lang w:val="en-US" w:eastAsia="zh-CN"/>
              </w:rPr>
              <w:t>，设计井深</w:t>
            </w:r>
            <w:r>
              <w:rPr>
                <w:rFonts w:hint="default" w:ascii="Times New Roman" w:hAnsi="Times New Roman" w:cs="Times New Roman" w:eastAsiaTheme="majorEastAsia"/>
                <w:szCs w:val="21"/>
                <w:lang w:val="en-US" w:eastAsia="zh-CN"/>
              </w:rPr>
              <w:t>162m</w:t>
            </w:r>
            <w:r>
              <w:rPr>
                <w:rFonts w:hint="eastAsia" w:ascii="Times New Roman" w:hAnsi="Times New Roman" w:cs="Times New Roman" w:eastAsiaTheme="majorEastAsia"/>
                <w:szCs w:val="21"/>
                <w:lang w:val="en-US" w:eastAsia="zh-CN"/>
              </w:rPr>
              <w:t>；</w:t>
            </w:r>
          </w:p>
          <w:p w14:paraId="7BB1E23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Times New Roman" w:hAnsi="Times New Roman" w:cs="Times New Roman" w:eastAsiaTheme="majorEastAsia"/>
                <w:szCs w:val="21"/>
                <w:lang w:val="en-US" w:eastAsia="zh-CN"/>
              </w:rPr>
            </w:pPr>
            <w:r>
              <w:rPr>
                <w:rFonts w:hint="default" w:ascii="Times New Roman" w:hAnsi="Times New Roman" w:cs="Times New Roman" w:eastAsiaTheme="majorEastAsia"/>
                <w:szCs w:val="21"/>
                <w:lang w:val="en-US" w:eastAsia="zh-CN"/>
              </w:rPr>
              <w:t>3</w:t>
            </w:r>
            <w:r>
              <w:rPr>
                <w:rFonts w:hint="eastAsia" w:ascii="Times New Roman" w:hAnsi="Times New Roman" w:cs="Times New Roman" w:eastAsiaTheme="majorEastAsia"/>
                <w:szCs w:val="21"/>
                <w:lang w:val="en-US" w:eastAsia="zh-CN"/>
              </w:rPr>
              <w:t>、新建</w:t>
            </w:r>
            <w:r>
              <w:rPr>
                <w:rFonts w:hint="default" w:ascii="Times New Roman" w:hAnsi="Times New Roman" w:cs="Times New Roman" w:eastAsiaTheme="majorEastAsia"/>
                <w:szCs w:val="21"/>
                <w:lang w:val="en-US" w:eastAsia="zh-CN"/>
              </w:rPr>
              <w:t>3</w:t>
            </w:r>
            <w:r>
              <w:rPr>
                <w:rFonts w:hint="eastAsia" w:ascii="Times New Roman" w:hAnsi="Times New Roman" w:cs="Times New Roman" w:eastAsiaTheme="majorEastAsia"/>
                <w:szCs w:val="21"/>
                <w:lang w:val="en-US" w:eastAsia="zh-CN"/>
              </w:rPr>
              <w:t>座水源井泵房，为地上地下两层结构，每座建筑面积</w:t>
            </w:r>
            <w:r>
              <w:rPr>
                <w:rFonts w:hint="default" w:ascii="Times New Roman" w:hAnsi="Times New Roman" w:cs="Times New Roman" w:eastAsiaTheme="majorEastAsia"/>
                <w:szCs w:val="21"/>
                <w:lang w:val="en-US" w:eastAsia="zh-CN"/>
              </w:rPr>
              <w:t>9.0</w:t>
            </w:r>
            <w:r>
              <w:rPr>
                <w:rFonts w:hint="eastAsia" w:ascii="宋体" w:hAnsi="宋体" w:eastAsia="宋体" w:cs="宋体"/>
                <w:szCs w:val="21"/>
                <w:lang w:val="en-US" w:eastAsia="zh-CN"/>
              </w:rPr>
              <w:t>㎡</w:t>
            </w:r>
            <w:r>
              <w:rPr>
                <w:rFonts w:hint="eastAsia" w:ascii="Times New Roman" w:hAnsi="Times New Roman" w:cs="Times New Roman" w:eastAsiaTheme="majorEastAsia"/>
                <w:szCs w:val="21"/>
                <w:lang w:val="en-US" w:eastAsia="zh-CN"/>
              </w:rPr>
              <w:t>；</w:t>
            </w:r>
          </w:p>
          <w:p w14:paraId="6BC3183D">
            <w:pPr>
              <w:widowControl/>
              <w:textAlignment w:val="center"/>
              <w:rPr>
                <w:rFonts w:ascii="宋体" w:hAnsi="宋体" w:eastAsia="宋体" w:cs="宋体"/>
                <w:color w:val="000000"/>
                <w:szCs w:val="21"/>
              </w:rPr>
            </w:pPr>
            <w:r>
              <w:rPr>
                <w:rFonts w:hint="default" w:ascii="Times New Roman" w:hAnsi="Times New Roman" w:cs="Times New Roman" w:eastAsiaTheme="majorEastAsia"/>
                <w:szCs w:val="21"/>
                <w:lang w:val="en-US" w:eastAsia="zh-CN"/>
              </w:rPr>
              <w:t>4</w:t>
            </w:r>
            <w:r>
              <w:rPr>
                <w:rFonts w:hint="eastAsia" w:ascii="Times New Roman" w:hAnsi="Times New Roman" w:cs="Times New Roman" w:eastAsiaTheme="majorEastAsia"/>
                <w:szCs w:val="21"/>
                <w:lang w:val="en-US" w:eastAsia="zh-CN"/>
              </w:rPr>
              <w:t>、新建配套管网，主要由输水管、配水管组成，总长度为</w:t>
            </w:r>
            <w:r>
              <w:rPr>
                <w:rFonts w:hint="default" w:ascii="Times New Roman" w:hAnsi="Times New Roman" w:cs="Times New Roman" w:eastAsiaTheme="majorEastAsia"/>
                <w:szCs w:val="21"/>
                <w:lang w:val="en-US" w:eastAsia="zh-CN"/>
              </w:rPr>
              <w:t>10564m</w:t>
            </w:r>
            <w:r>
              <w:rPr>
                <w:rFonts w:hint="eastAsia" w:ascii="Times New Roman" w:hAnsi="Times New Roman" w:cs="Times New Roman" w:eastAsiaTheme="majorEastAsia"/>
                <w:szCs w:val="21"/>
                <w:lang w:val="en-US" w:eastAsia="zh-CN"/>
              </w:rPr>
              <w:t>，其中</w:t>
            </w:r>
            <w:r>
              <w:rPr>
                <w:rFonts w:hint="default" w:ascii="Times New Roman" w:hAnsi="Times New Roman" w:cs="Times New Roman" w:eastAsiaTheme="majorEastAsia"/>
                <w:szCs w:val="21"/>
                <w:lang w:val="en-US" w:eastAsia="zh-CN"/>
              </w:rPr>
              <w:t>DN315</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2152m</w:t>
            </w:r>
            <w:r>
              <w:rPr>
                <w:rFonts w:hint="eastAsia" w:ascii="Times New Roman" w:hAnsi="Times New Roman" w:cs="Times New Roman" w:eastAsiaTheme="majorEastAsia"/>
                <w:szCs w:val="21"/>
                <w:lang w:val="en-US" w:eastAsia="zh-CN"/>
              </w:rPr>
              <w:t>，</w:t>
            </w:r>
            <w:r>
              <w:rPr>
                <w:rFonts w:hint="default" w:ascii="Times New Roman" w:hAnsi="Times New Roman" w:cs="Times New Roman" w:eastAsiaTheme="majorEastAsia"/>
                <w:szCs w:val="21"/>
                <w:lang w:val="en-US" w:eastAsia="zh-CN"/>
              </w:rPr>
              <w:t>DN200</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2697m</w:t>
            </w:r>
            <w:r>
              <w:rPr>
                <w:rFonts w:hint="eastAsia" w:ascii="Times New Roman" w:hAnsi="Times New Roman" w:cs="Times New Roman" w:eastAsiaTheme="majorEastAsia"/>
                <w:szCs w:val="21"/>
                <w:lang w:val="en-US" w:eastAsia="zh-CN"/>
              </w:rPr>
              <w:t>，</w:t>
            </w:r>
            <w:r>
              <w:rPr>
                <w:rFonts w:hint="default" w:ascii="Times New Roman" w:hAnsi="Times New Roman" w:cs="Times New Roman" w:eastAsiaTheme="majorEastAsia"/>
                <w:szCs w:val="21"/>
                <w:lang w:val="en-US" w:eastAsia="zh-CN"/>
              </w:rPr>
              <w:t>DN160</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1435m</w:t>
            </w:r>
            <w:r>
              <w:rPr>
                <w:rFonts w:hint="eastAsia" w:ascii="Times New Roman" w:hAnsi="Times New Roman" w:cs="Times New Roman" w:eastAsiaTheme="majorEastAsia"/>
                <w:szCs w:val="21"/>
                <w:lang w:val="en-US" w:eastAsia="zh-CN"/>
              </w:rPr>
              <w:t>，</w:t>
            </w:r>
            <w:r>
              <w:rPr>
                <w:rFonts w:hint="default" w:ascii="Times New Roman" w:hAnsi="Times New Roman" w:cs="Times New Roman" w:eastAsiaTheme="majorEastAsia"/>
                <w:szCs w:val="21"/>
                <w:lang w:val="en-US" w:eastAsia="zh-CN"/>
              </w:rPr>
              <w:t>DN110</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2779m</w:t>
            </w:r>
            <w:r>
              <w:rPr>
                <w:rFonts w:hint="eastAsia" w:ascii="Times New Roman" w:hAnsi="Times New Roman" w:cs="Times New Roman" w:eastAsiaTheme="majorEastAsia"/>
                <w:szCs w:val="21"/>
                <w:lang w:val="en-US" w:eastAsia="zh-CN"/>
              </w:rPr>
              <w:t>，</w:t>
            </w:r>
            <w:r>
              <w:rPr>
                <w:rFonts w:hint="default" w:ascii="Times New Roman" w:hAnsi="Times New Roman" w:cs="Times New Roman" w:eastAsiaTheme="majorEastAsia"/>
                <w:szCs w:val="21"/>
                <w:lang w:val="en-US" w:eastAsia="zh-CN"/>
              </w:rPr>
              <w:t>DN90</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1430m</w:t>
            </w:r>
            <w:r>
              <w:rPr>
                <w:rFonts w:hint="eastAsia" w:ascii="Times New Roman" w:hAnsi="Times New Roman" w:cs="Times New Roman" w:eastAsiaTheme="majorEastAsia"/>
                <w:szCs w:val="21"/>
                <w:lang w:val="en-US" w:eastAsia="zh-CN"/>
              </w:rPr>
              <w:t>，</w:t>
            </w:r>
            <w:r>
              <w:rPr>
                <w:rFonts w:hint="default" w:ascii="Times New Roman" w:hAnsi="Times New Roman" w:cs="Times New Roman" w:eastAsiaTheme="majorEastAsia"/>
                <w:szCs w:val="21"/>
                <w:lang w:val="en-US" w:eastAsia="zh-CN"/>
              </w:rPr>
              <w:t>DN50</w:t>
            </w:r>
            <w:r>
              <w:rPr>
                <w:rFonts w:hint="eastAsia" w:ascii="Times New Roman" w:hAnsi="Times New Roman" w:cs="Times New Roman" w:eastAsiaTheme="majorEastAsia"/>
                <w:szCs w:val="21"/>
                <w:lang w:val="en-US" w:eastAsia="zh-CN"/>
              </w:rPr>
              <w:t>总长度</w:t>
            </w:r>
            <w:r>
              <w:rPr>
                <w:rFonts w:hint="default" w:ascii="Times New Roman" w:hAnsi="Times New Roman" w:cs="Times New Roman" w:eastAsiaTheme="majorEastAsia"/>
                <w:szCs w:val="21"/>
                <w:lang w:val="en-US" w:eastAsia="zh-CN"/>
              </w:rPr>
              <w:t>71m</w:t>
            </w:r>
            <w:r>
              <w:rPr>
                <w:rFonts w:hint="eastAsia" w:ascii="Times New Roman" w:hAnsi="Times New Roman" w:cs="Times New Roman" w:eastAsiaTheme="majorEastAsia"/>
                <w:szCs w:val="21"/>
                <w:lang w:val="en-US" w:eastAsia="zh-CN"/>
              </w:rPr>
              <w:t>；管网内设</w:t>
            </w:r>
            <w:r>
              <w:rPr>
                <w:rFonts w:hint="default" w:ascii="Times New Roman" w:hAnsi="Times New Roman" w:cs="Times New Roman" w:eastAsiaTheme="majorEastAsia"/>
                <w:szCs w:val="21"/>
                <w:lang w:val="en-US" w:eastAsia="zh-CN"/>
              </w:rPr>
              <w:t>29</w:t>
            </w:r>
            <w:r>
              <w:rPr>
                <w:rFonts w:hint="eastAsia" w:ascii="Times New Roman" w:hAnsi="Times New Roman" w:cs="Times New Roman" w:eastAsiaTheme="majorEastAsia"/>
                <w:szCs w:val="21"/>
                <w:lang w:val="en-US" w:eastAsia="zh-CN"/>
              </w:rPr>
              <w:t>座检修阀门井，直径</w:t>
            </w:r>
            <w:r>
              <w:rPr>
                <w:rFonts w:hint="default" w:ascii="Times New Roman" w:hAnsi="Times New Roman" w:cs="Times New Roman" w:eastAsiaTheme="majorEastAsia"/>
                <w:szCs w:val="21"/>
                <w:lang w:val="en-US" w:eastAsia="zh-CN"/>
              </w:rPr>
              <w:t>1.2m</w:t>
            </w:r>
            <w:r>
              <w:rPr>
                <w:rFonts w:hint="eastAsia" w:ascii="Times New Roman" w:hAnsi="Times New Roman" w:cs="Times New Roman" w:eastAsiaTheme="majorEastAsia"/>
                <w:szCs w:val="21"/>
                <w:lang w:val="en-US" w:eastAsia="zh-CN"/>
              </w:rPr>
              <w:t>，净深</w:t>
            </w:r>
            <w:r>
              <w:rPr>
                <w:rFonts w:hint="default" w:ascii="Times New Roman" w:hAnsi="Times New Roman" w:cs="Times New Roman" w:eastAsiaTheme="majorEastAsia"/>
                <w:szCs w:val="21"/>
                <w:lang w:val="en-US" w:eastAsia="zh-CN"/>
              </w:rPr>
              <w:t>2.2m</w:t>
            </w:r>
            <w:r>
              <w:rPr>
                <w:rFonts w:hint="eastAsia" w:ascii="Times New Roman" w:hAnsi="Times New Roman" w:cs="Times New Roman" w:eastAsiaTheme="majorEastAsia"/>
                <w:szCs w:val="21"/>
                <w:lang w:val="en-US" w:eastAsia="zh-CN"/>
              </w:rPr>
              <w:t>，砖砌圆形阀井；管网内设</w:t>
            </w:r>
            <w:r>
              <w:rPr>
                <w:rFonts w:hint="default" w:ascii="Times New Roman" w:hAnsi="Times New Roman" w:cs="Times New Roman" w:eastAsiaTheme="majorEastAsia"/>
                <w:szCs w:val="21"/>
                <w:lang w:val="en-US" w:eastAsia="zh-CN"/>
              </w:rPr>
              <w:t>1</w:t>
            </w:r>
            <w:r>
              <w:rPr>
                <w:rFonts w:hint="eastAsia" w:ascii="Times New Roman" w:hAnsi="Times New Roman" w:cs="Times New Roman" w:eastAsiaTheme="majorEastAsia"/>
                <w:szCs w:val="21"/>
                <w:lang w:val="en-US" w:eastAsia="zh-CN"/>
              </w:rPr>
              <w:t>座排水井，直径</w:t>
            </w:r>
            <w:r>
              <w:rPr>
                <w:rFonts w:hint="default" w:ascii="Times New Roman" w:hAnsi="Times New Roman" w:cs="Times New Roman" w:eastAsiaTheme="majorEastAsia"/>
                <w:szCs w:val="21"/>
                <w:lang w:val="en-US" w:eastAsia="zh-CN"/>
              </w:rPr>
              <w:t>1.2m</w:t>
            </w:r>
            <w:r>
              <w:rPr>
                <w:rFonts w:hint="eastAsia" w:ascii="Times New Roman" w:hAnsi="Times New Roman" w:cs="Times New Roman" w:eastAsiaTheme="majorEastAsia"/>
                <w:szCs w:val="21"/>
                <w:lang w:val="en-US" w:eastAsia="zh-CN"/>
              </w:rPr>
              <w:t>，净深</w:t>
            </w:r>
            <w:r>
              <w:rPr>
                <w:rFonts w:hint="default" w:ascii="Times New Roman" w:hAnsi="Times New Roman" w:cs="Times New Roman" w:eastAsiaTheme="majorEastAsia"/>
                <w:szCs w:val="21"/>
                <w:lang w:val="en-US" w:eastAsia="zh-CN"/>
              </w:rPr>
              <w:t>2.2m</w:t>
            </w:r>
            <w:r>
              <w:rPr>
                <w:rFonts w:hint="eastAsia" w:ascii="Times New Roman" w:hAnsi="Times New Roman" w:cs="Times New Roman" w:eastAsiaTheme="majorEastAsia"/>
                <w:szCs w:val="21"/>
                <w:lang w:val="en-US" w:eastAsia="zh-CN"/>
              </w:rPr>
              <w:t>，湿井</w:t>
            </w:r>
            <w:r>
              <w:rPr>
                <w:rFonts w:hint="default" w:ascii="Times New Roman" w:hAnsi="Times New Roman" w:cs="Times New Roman" w:eastAsiaTheme="majorEastAsia"/>
                <w:szCs w:val="21"/>
                <w:lang w:val="en-US" w:eastAsia="zh-CN"/>
              </w:rPr>
              <w:t>1</w:t>
            </w:r>
            <w:r>
              <w:rPr>
                <w:rFonts w:hint="eastAsia" w:ascii="Times New Roman" w:hAnsi="Times New Roman" w:cs="Times New Roman" w:eastAsiaTheme="majorEastAsia"/>
                <w:szCs w:val="21"/>
                <w:lang w:val="en-US" w:eastAsia="zh-CN"/>
              </w:rPr>
              <w:t>座，直径</w:t>
            </w:r>
            <w:r>
              <w:rPr>
                <w:rFonts w:hint="default" w:ascii="Times New Roman" w:hAnsi="Times New Roman" w:cs="Times New Roman" w:eastAsiaTheme="majorEastAsia"/>
                <w:szCs w:val="21"/>
                <w:lang w:val="en-US" w:eastAsia="zh-CN"/>
              </w:rPr>
              <w:t>0.8m</w:t>
            </w:r>
            <w:r>
              <w:rPr>
                <w:rFonts w:hint="eastAsia" w:ascii="Times New Roman" w:hAnsi="Times New Roman" w:cs="Times New Roman" w:eastAsiaTheme="majorEastAsia"/>
                <w:szCs w:val="21"/>
                <w:lang w:val="en-US" w:eastAsia="zh-CN"/>
              </w:rPr>
              <w:t>，净深</w:t>
            </w:r>
            <w:r>
              <w:rPr>
                <w:rFonts w:hint="default" w:ascii="Times New Roman" w:hAnsi="Times New Roman" w:cs="Times New Roman" w:eastAsiaTheme="majorEastAsia"/>
                <w:szCs w:val="21"/>
                <w:lang w:val="en-US" w:eastAsia="zh-CN"/>
              </w:rPr>
              <w:t>2.2m</w:t>
            </w:r>
            <w:r>
              <w:rPr>
                <w:rFonts w:hint="eastAsia" w:ascii="Times New Roman" w:hAnsi="Times New Roman" w:cs="Times New Roman" w:eastAsiaTheme="majorEastAsia"/>
                <w:szCs w:val="21"/>
                <w:lang w:val="en-US" w:eastAsia="zh-CN"/>
              </w:rPr>
              <w:t>，砖砌圆形阀井；管网内设</w:t>
            </w:r>
            <w:r>
              <w:rPr>
                <w:rFonts w:hint="default" w:ascii="Times New Roman" w:hAnsi="Times New Roman" w:cs="Times New Roman" w:eastAsiaTheme="majorEastAsia"/>
                <w:szCs w:val="21"/>
                <w:lang w:val="en-US" w:eastAsia="zh-CN"/>
              </w:rPr>
              <w:t>2</w:t>
            </w:r>
            <w:r>
              <w:rPr>
                <w:rFonts w:hint="eastAsia" w:ascii="Times New Roman" w:hAnsi="Times New Roman" w:cs="Times New Roman" w:eastAsiaTheme="majorEastAsia"/>
                <w:szCs w:val="21"/>
                <w:lang w:val="en-US" w:eastAsia="zh-CN"/>
              </w:rPr>
              <w:t>座排气井，直径</w:t>
            </w:r>
            <w:r>
              <w:rPr>
                <w:rFonts w:hint="default" w:ascii="Times New Roman" w:hAnsi="Times New Roman" w:cs="Times New Roman" w:eastAsiaTheme="majorEastAsia"/>
                <w:szCs w:val="21"/>
                <w:lang w:val="en-US" w:eastAsia="zh-CN"/>
              </w:rPr>
              <w:t>1.2m</w:t>
            </w:r>
            <w:r>
              <w:rPr>
                <w:rFonts w:hint="eastAsia" w:ascii="Times New Roman" w:hAnsi="Times New Roman" w:cs="Times New Roman" w:eastAsiaTheme="majorEastAsia"/>
                <w:szCs w:val="21"/>
                <w:lang w:val="en-US" w:eastAsia="zh-CN"/>
              </w:rPr>
              <w:t>，净深</w:t>
            </w:r>
            <w:r>
              <w:rPr>
                <w:rFonts w:hint="default" w:ascii="Times New Roman" w:hAnsi="Times New Roman" w:cs="Times New Roman" w:eastAsiaTheme="majorEastAsia"/>
                <w:szCs w:val="21"/>
                <w:lang w:val="en-US" w:eastAsia="zh-CN"/>
              </w:rPr>
              <w:t>2.2m</w:t>
            </w:r>
            <w:r>
              <w:rPr>
                <w:rFonts w:hint="eastAsia" w:ascii="Times New Roman" w:hAnsi="Times New Roman" w:cs="Times New Roman" w:eastAsiaTheme="majorEastAsia"/>
                <w:szCs w:val="21"/>
                <w:lang w:val="en-US" w:eastAsia="zh-CN"/>
              </w:rPr>
              <w:t>，砖砌圆形阀井；新增管线仅新水厂至原水厂主管连接处和接部队管线。新建管线向东至河道边，沿河道向北至桥，贴桥过河向西向北直至接入水厂主管道；接部队管线由西北处主管线上取水，向北沿路布设，至部队</w:t>
            </w:r>
          </w:p>
        </w:tc>
        <w:tc>
          <w:tcPr>
            <w:tcW w:w="6062" w:type="dxa"/>
            <w:tcBorders>
              <w:top w:val="single" w:color="000000" w:sz="4" w:space="0"/>
              <w:left w:val="single" w:color="000000" w:sz="4" w:space="0"/>
              <w:bottom w:val="single" w:color="000000" w:sz="4" w:space="0"/>
              <w:right w:val="single" w:color="000000" w:sz="4" w:space="0"/>
            </w:tcBorders>
            <w:shd w:val="clear" w:color="auto" w:fill="auto"/>
          </w:tcPr>
          <w:p w14:paraId="3843183A">
            <w:pPr>
              <w:keepNext w:val="0"/>
              <w:keepLines w:val="0"/>
              <w:pageBreakBefore w:val="0"/>
              <w:widowControl w:val="0"/>
              <w:kinsoku/>
              <w:wordWrap/>
              <w:overflowPunct/>
              <w:topLinePunct w:val="0"/>
              <w:autoSpaceDE/>
              <w:autoSpaceDN/>
              <w:bidi w:val="0"/>
              <w:snapToGrid/>
              <w:ind w:firstLine="420" w:firstLineChars="200"/>
              <w:rPr>
                <w:rFonts w:hint="eastAsia"/>
                <w:color w:val="000000"/>
                <w:szCs w:val="21"/>
              </w:rPr>
            </w:pPr>
            <w:r>
              <w:rPr>
                <w:rFonts w:hint="eastAsia"/>
                <w:color w:val="000000"/>
                <w:szCs w:val="21"/>
              </w:rPr>
              <w:t>1、</w:t>
            </w:r>
            <w:r>
              <w:rPr>
                <w:rFonts w:hint="eastAsia"/>
                <w:color w:val="000000"/>
                <w:szCs w:val="21"/>
                <w:lang w:val="en-US" w:eastAsia="zh-CN"/>
              </w:rPr>
              <w:t>陆生生态保护</w:t>
            </w:r>
            <w:r>
              <w:rPr>
                <w:rFonts w:hint="eastAsia"/>
                <w:color w:val="000000"/>
                <w:szCs w:val="21"/>
              </w:rPr>
              <w:t>措施</w:t>
            </w:r>
          </w:p>
          <w:p w14:paraId="7B139466">
            <w:pPr>
              <w:keepNext w:val="0"/>
              <w:keepLines w:val="0"/>
              <w:pageBreakBefore w:val="0"/>
              <w:widowControl w:val="0"/>
              <w:kinsoku/>
              <w:wordWrap/>
              <w:overflowPunct/>
              <w:topLinePunct w:val="0"/>
              <w:autoSpaceDE/>
              <w:autoSpaceDN/>
              <w:bidi w:val="0"/>
              <w:snapToGrid/>
              <w:ind w:firstLine="420" w:firstLineChars="200"/>
              <w:rPr>
                <w:rFonts w:ascii="Times New Roman"/>
                <w:color w:val="000000" w:themeColor="text1"/>
                <w:sz w:val="21"/>
                <w:szCs w:val="21"/>
                <w14:textFill>
                  <w14:solidFill>
                    <w14:schemeClr w14:val="tx1"/>
                  </w14:solidFill>
                </w14:textFill>
              </w:rPr>
            </w:pPr>
            <w:r>
              <w:rPr>
                <w:rFonts w:hint="eastAsia"/>
                <w:bCs/>
                <w:szCs w:val="21"/>
                <w:lang w:val="en-US" w:eastAsia="zh-CN"/>
              </w:rPr>
              <w:t>施工期：控制好施工范围，减少植被破坏；挖方时应尽量将表层土（地表30cm厚）与下层土分开，将剥离的表层土单独堆放，并做临时围挡和遮盖，待建成后覆土，恢复原貌。在施工中要尽量减少对原有土地的损坏，选择破坏程度较小施工机械，严格限定施工场地和运输路线，防止施工作业活动破坏生态环境</w:t>
            </w:r>
            <w:r>
              <w:rPr>
                <w:rFonts w:ascii="Times New Roman"/>
                <w:color w:val="000000" w:themeColor="text1"/>
                <w:sz w:val="21"/>
                <w:szCs w:val="21"/>
                <w14:textFill>
                  <w14:solidFill>
                    <w14:schemeClr w14:val="tx1"/>
                  </w14:solidFill>
                </w14:textFill>
              </w:rPr>
              <w:t>。</w:t>
            </w:r>
          </w:p>
          <w:p w14:paraId="14D30510">
            <w:pPr>
              <w:pStyle w:val="3"/>
              <w:keepNext w:val="0"/>
              <w:keepLines w:val="0"/>
              <w:pageBreakBefore w:val="0"/>
              <w:widowControl w:val="0"/>
              <w:kinsoku/>
              <w:wordWrap/>
              <w:overflowPunct/>
              <w:topLinePunct w:val="0"/>
              <w:autoSpaceDE/>
              <w:autoSpaceDN/>
              <w:bidi w:val="0"/>
              <w:snapToGrid/>
              <w:ind w:firstLine="412" w:firstLineChars="200"/>
              <w:rPr>
                <w:rFonts w:hint="eastAsia" w:eastAsiaTheme="minorEastAsia"/>
                <w:lang w:val="en-US" w:eastAsia="zh-CN"/>
              </w:rPr>
            </w:pPr>
            <w:r>
              <w:rPr>
                <w:rFonts w:hint="eastAsia" w:ascii="Times New Roman"/>
                <w:color w:val="000000" w:themeColor="text1"/>
                <w:sz w:val="21"/>
                <w:szCs w:val="21"/>
                <w:lang w:val="en-US" w:eastAsia="zh-CN"/>
                <w14:textFill>
                  <w14:solidFill>
                    <w14:schemeClr w14:val="tx1"/>
                  </w14:solidFill>
                </w14:textFill>
              </w:rPr>
              <w:t>运营期：无</w:t>
            </w:r>
            <w:r>
              <w:rPr>
                <w:rFonts w:ascii="Times New Roman"/>
                <w:color w:val="000000" w:themeColor="text1"/>
                <w:sz w:val="21"/>
                <w:szCs w:val="21"/>
                <w14:textFill>
                  <w14:solidFill>
                    <w14:schemeClr w14:val="tx1"/>
                  </w14:solidFill>
                </w14:textFill>
              </w:rPr>
              <w:t>。</w:t>
            </w:r>
          </w:p>
          <w:p w14:paraId="3A27F337">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2、</w:t>
            </w:r>
            <w:r>
              <w:rPr>
                <w:rFonts w:hint="eastAsia"/>
                <w:color w:val="000000"/>
                <w:szCs w:val="21"/>
                <w:lang w:val="en-US" w:eastAsia="zh-CN"/>
              </w:rPr>
              <w:t>地表水环境保护</w:t>
            </w:r>
            <w:r>
              <w:rPr>
                <w:rFonts w:hint="eastAsia"/>
                <w:color w:val="000000"/>
                <w:szCs w:val="21"/>
              </w:rPr>
              <w:t>措施</w:t>
            </w:r>
          </w:p>
          <w:p w14:paraId="65C8BBBB">
            <w:pPr>
              <w:keepNext w:val="0"/>
              <w:keepLines w:val="0"/>
              <w:pageBreakBefore w:val="0"/>
              <w:widowControl w:val="0"/>
              <w:kinsoku/>
              <w:wordWrap/>
              <w:overflowPunct/>
              <w:topLinePunct w:val="0"/>
              <w:autoSpaceDE/>
              <w:autoSpaceDN/>
              <w:bidi w:val="0"/>
              <w:snapToGrid/>
              <w:ind w:firstLine="420" w:firstLineChars="200"/>
              <w:rPr>
                <w:rFonts w:hint="eastAsia"/>
                <w:szCs w:val="21"/>
              </w:rPr>
            </w:pPr>
            <w:r>
              <w:rPr>
                <w:rFonts w:hint="eastAsia"/>
                <w:szCs w:val="21"/>
                <w:lang w:val="en-US" w:eastAsia="zh-CN"/>
              </w:rPr>
              <w:t>施工期：施工钻井废水和洗井废水经沉淀后回用于施工用水、降尘，不外排；施工人员生活污水排入水厂化粪池进行处理，最终排入污额尔古纳市莫尔道嘎镇污水处理厂统一处理</w:t>
            </w:r>
            <w:r>
              <w:rPr>
                <w:rFonts w:hint="eastAsia"/>
                <w:szCs w:val="21"/>
              </w:rPr>
              <w:t>。</w:t>
            </w:r>
          </w:p>
          <w:p w14:paraId="0DF3D0EA">
            <w:pPr>
              <w:pStyle w:val="3"/>
              <w:keepNext w:val="0"/>
              <w:keepLines w:val="0"/>
              <w:pageBreakBefore w:val="0"/>
              <w:widowControl w:val="0"/>
              <w:kinsoku/>
              <w:wordWrap/>
              <w:overflowPunct/>
              <w:topLinePunct w:val="0"/>
              <w:autoSpaceDE/>
              <w:autoSpaceDN/>
              <w:bidi w:val="0"/>
              <w:snapToGrid/>
              <w:ind w:firstLine="412" w:firstLineChars="200"/>
              <w:rPr>
                <w:rFonts w:hint="default" w:eastAsiaTheme="minorEastAsia"/>
                <w:lang w:val="en-US" w:eastAsia="zh-CN"/>
              </w:rPr>
            </w:pPr>
            <w:r>
              <w:rPr>
                <w:rFonts w:hint="eastAsia"/>
                <w:szCs w:val="21"/>
                <w:lang w:val="en-US" w:eastAsia="zh-CN"/>
              </w:rPr>
              <w:t>运营期：生活污水排入化粪池。</w:t>
            </w:r>
          </w:p>
          <w:p w14:paraId="3E3D97B8">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3、</w:t>
            </w:r>
            <w:bookmarkStart w:id="2" w:name="OLE_LINK3"/>
            <w:r>
              <w:rPr>
                <w:rFonts w:hint="eastAsia"/>
                <w:color w:val="000000"/>
                <w:szCs w:val="21"/>
              </w:rPr>
              <w:t>噪声污染防治措施</w:t>
            </w:r>
            <w:bookmarkEnd w:id="2"/>
          </w:p>
          <w:p w14:paraId="54103724">
            <w:pPr>
              <w:keepNext w:val="0"/>
              <w:keepLines w:val="0"/>
              <w:pageBreakBefore w:val="0"/>
              <w:widowControl w:val="0"/>
              <w:kinsoku/>
              <w:wordWrap/>
              <w:overflowPunct/>
              <w:topLinePunct w:val="0"/>
              <w:autoSpaceDE/>
              <w:autoSpaceDN/>
              <w:bidi w:val="0"/>
              <w:snapToGrid/>
              <w:ind w:firstLine="380" w:firstLineChars="200"/>
              <w:rPr>
                <w:rFonts w:hint="eastAsia"/>
                <w:color w:val="000000"/>
                <w:szCs w:val="21"/>
              </w:rPr>
            </w:pPr>
            <w:r>
              <w:rPr>
                <w:rFonts w:hint="eastAsia"/>
                <w:bCs/>
                <w:spacing w:val="-10"/>
                <w:szCs w:val="21"/>
                <w:lang w:val="en-US" w:eastAsia="zh-CN"/>
              </w:rPr>
              <w:t>施工期：加强施工管理，合理安排施工作业时间，选用低噪声设备，夜间不施工</w:t>
            </w:r>
            <w:r>
              <w:rPr>
                <w:rFonts w:hint="eastAsia"/>
                <w:color w:val="000000"/>
                <w:szCs w:val="21"/>
              </w:rPr>
              <w:t>。</w:t>
            </w:r>
          </w:p>
          <w:p w14:paraId="3DFC4275">
            <w:pPr>
              <w:pStyle w:val="3"/>
              <w:keepNext w:val="0"/>
              <w:keepLines w:val="0"/>
              <w:pageBreakBefore w:val="0"/>
              <w:widowControl w:val="0"/>
              <w:kinsoku/>
              <w:wordWrap/>
              <w:overflowPunct/>
              <w:topLinePunct w:val="0"/>
              <w:autoSpaceDE/>
              <w:autoSpaceDN/>
              <w:bidi w:val="0"/>
              <w:snapToGrid/>
              <w:ind w:firstLine="412" w:firstLineChars="200"/>
              <w:rPr>
                <w:rFonts w:hint="default" w:eastAsiaTheme="minorEastAsia"/>
                <w:lang w:val="en-US" w:eastAsia="zh-CN"/>
              </w:rPr>
            </w:pPr>
            <w:r>
              <w:rPr>
                <w:rFonts w:hint="eastAsia"/>
                <w:lang w:val="en-US" w:eastAsia="zh-CN"/>
              </w:rPr>
              <w:t>运营期：选取低噪设备，定期检修维护，泵类设备置于地下井室内，再隔声后，达标排放。</w:t>
            </w:r>
          </w:p>
          <w:p w14:paraId="26352D42">
            <w:pPr>
              <w:keepNext w:val="0"/>
              <w:keepLines w:val="0"/>
              <w:pageBreakBefore w:val="0"/>
              <w:widowControl w:val="0"/>
              <w:kinsoku/>
              <w:wordWrap/>
              <w:overflowPunct/>
              <w:topLinePunct w:val="0"/>
              <w:autoSpaceDE/>
              <w:autoSpaceDN/>
              <w:bidi w:val="0"/>
              <w:snapToGrid/>
              <w:ind w:firstLine="420" w:firstLineChars="200"/>
              <w:rPr>
                <w:color w:val="000000"/>
                <w:szCs w:val="21"/>
              </w:rPr>
            </w:pPr>
            <w:r>
              <w:rPr>
                <w:rFonts w:hint="eastAsia"/>
                <w:color w:val="000000"/>
                <w:szCs w:val="21"/>
              </w:rPr>
              <w:t>4、</w:t>
            </w:r>
            <w:r>
              <w:rPr>
                <w:rFonts w:hint="eastAsia"/>
                <w:color w:val="000000"/>
                <w:szCs w:val="21"/>
                <w:lang w:val="en-US" w:eastAsia="zh-CN"/>
              </w:rPr>
              <w:t>大气环境保护</w:t>
            </w:r>
            <w:r>
              <w:rPr>
                <w:rFonts w:hint="eastAsia"/>
                <w:color w:val="000000"/>
                <w:szCs w:val="21"/>
              </w:rPr>
              <w:t>措施</w:t>
            </w:r>
          </w:p>
          <w:p w14:paraId="7141997E">
            <w:pPr>
              <w:keepNext w:val="0"/>
              <w:keepLines w:val="0"/>
              <w:pageBreakBefore w:val="0"/>
              <w:widowControl w:val="0"/>
              <w:kinsoku/>
              <w:wordWrap/>
              <w:overflowPunct/>
              <w:topLinePunct w:val="0"/>
              <w:autoSpaceDE/>
              <w:autoSpaceDN/>
              <w:bidi w:val="0"/>
              <w:snapToGrid/>
              <w:ind w:firstLine="420" w:firstLineChars="200"/>
              <w:rPr>
                <w:rFonts w:hint="eastAsia" w:ascii="宋体" w:hAnsi="宋体" w:cs="宋体"/>
                <w:szCs w:val="21"/>
              </w:rPr>
            </w:pPr>
            <w:r>
              <w:rPr>
                <w:rFonts w:hint="eastAsia" w:ascii="宋体" w:hAnsi="宋体" w:cs="宋体"/>
                <w:szCs w:val="21"/>
                <w:lang w:val="en-US" w:eastAsia="zh-CN"/>
              </w:rPr>
              <w:t>施工期：施工道路要硬化，并定期洒水降尘；运输车辆的车轮、道路及时清理</w:t>
            </w:r>
            <w:r>
              <w:rPr>
                <w:rFonts w:hint="eastAsia" w:ascii="宋体" w:hAnsi="宋体" w:cs="宋体"/>
                <w:szCs w:val="21"/>
              </w:rPr>
              <w:t>。</w:t>
            </w:r>
          </w:p>
          <w:p w14:paraId="0419C253">
            <w:pPr>
              <w:pStyle w:val="3"/>
              <w:ind w:firstLine="412" w:firstLineChars="200"/>
              <w:rPr>
                <w:rFonts w:hint="default" w:eastAsiaTheme="minorEastAsia"/>
                <w:lang w:val="en-US" w:eastAsia="zh-CN"/>
              </w:rPr>
            </w:pPr>
            <w:r>
              <w:rPr>
                <w:rFonts w:hint="eastAsia" w:ascii="宋体" w:hAnsi="宋体" w:cs="宋体"/>
                <w:szCs w:val="21"/>
                <w:lang w:val="en-US" w:eastAsia="zh-CN"/>
              </w:rPr>
              <w:t>运营期：无</w:t>
            </w:r>
          </w:p>
          <w:p w14:paraId="37957CC7">
            <w:pPr>
              <w:keepNext w:val="0"/>
              <w:keepLines w:val="0"/>
              <w:pageBreakBefore w:val="0"/>
              <w:widowControl w:val="0"/>
              <w:numPr>
                <w:ilvl w:val="0"/>
                <w:numId w:val="1"/>
              </w:numPr>
              <w:kinsoku/>
              <w:wordWrap/>
              <w:overflowPunct/>
              <w:topLinePunct w:val="0"/>
              <w:autoSpaceDE/>
              <w:autoSpaceDN/>
              <w:bidi w:val="0"/>
              <w:snapToGrid/>
              <w:ind w:firstLine="420" w:firstLineChars="200"/>
              <w:rPr>
                <w:szCs w:val="21"/>
              </w:rPr>
            </w:pPr>
            <w:r>
              <w:rPr>
                <w:rFonts w:hint="eastAsia"/>
                <w:szCs w:val="21"/>
                <w:lang w:val="en-US" w:eastAsia="zh-CN"/>
              </w:rPr>
              <w:t>固体废物</w:t>
            </w:r>
            <w:r>
              <w:rPr>
                <w:szCs w:val="21"/>
              </w:rPr>
              <w:t>防治措施</w:t>
            </w:r>
          </w:p>
          <w:p w14:paraId="6084ADDF">
            <w:pPr>
              <w:keepNext w:val="0"/>
              <w:keepLines w:val="0"/>
              <w:pageBreakBefore w:val="0"/>
              <w:widowControl w:val="0"/>
              <w:numPr>
                <w:ilvl w:val="0"/>
                <w:numId w:val="0"/>
              </w:numPr>
              <w:kinsoku/>
              <w:wordWrap/>
              <w:overflowPunct/>
              <w:topLinePunct w:val="0"/>
              <w:autoSpaceDE/>
              <w:autoSpaceDN/>
              <w:bidi w:val="0"/>
              <w:snapToGrid/>
              <w:ind w:firstLine="420" w:firstLineChars="200"/>
              <w:rPr>
                <w:rFonts w:ascii="Times New Roman"/>
                <w:color w:val="000000" w:themeColor="text1"/>
                <w:sz w:val="21"/>
                <w:szCs w:val="21"/>
                <w14:textFill>
                  <w14:solidFill>
                    <w14:schemeClr w14:val="tx1"/>
                  </w14:solidFill>
                </w14:textFill>
              </w:rPr>
            </w:pPr>
            <w:r>
              <w:rPr>
                <w:rFonts w:hint="eastAsia"/>
                <w:szCs w:val="21"/>
                <w:lang w:val="en-US" w:eastAsia="zh-CN"/>
              </w:rPr>
              <w:t>施工期：施工结束后及时清理，平整临时占地，生态恢复；建筑垃圾送市政指定地点；生活垃圾集中收集，定期由环卫部门统一处理</w:t>
            </w:r>
            <w:r>
              <w:rPr>
                <w:rFonts w:ascii="Times New Roman"/>
                <w:color w:val="000000" w:themeColor="text1"/>
                <w:sz w:val="21"/>
                <w:szCs w:val="21"/>
                <w14:textFill>
                  <w14:solidFill>
                    <w14:schemeClr w14:val="tx1"/>
                  </w14:solidFill>
                </w14:textFill>
              </w:rPr>
              <w:t>。</w:t>
            </w:r>
          </w:p>
          <w:p w14:paraId="6F62E39A">
            <w:pPr>
              <w:keepNext w:val="0"/>
              <w:keepLines w:val="0"/>
              <w:pageBreakBefore w:val="0"/>
              <w:widowControl w:val="0"/>
              <w:numPr>
                <w:ilvl w:val="0"/>
                <w:numId w:val="0"/>
              </w:numPr>
              <w:kinsoku/>
              <w:wordWrap/>
              <w:overflowPunct/>
              <w:topLinePunct w:val="0"/>
              <w:autoSpaceDE/>
              <w:autoSpaceDN/>
              <w:bidi w:val="0"/>
              <w:snapToGrid/>
              <w:ind w:firstLine="420" w:firstLineChars="200"/>
              <w:rPr>
                <w:rFonts w:hint="default"/>
                <w:szCs w:val="21"/>
                <w:lang w:val="en-US" w:eastAsia="zh-CN"/>
              </w:rPr>
            </w:pPr>
            <w:r>
              <w:rPr>
                <w:rFonts w:hint="eastAsia"/>
                <w:szCs w:val="21"/>
                <w:lang w:val="en-US" w:eastAsia="zh-CN"/>
              </w:rPr>
              <w:t>运营期：施工结束后及时清理，平整临时占地，生态恢复；建筑垃圾送市政指定地点；生活垃圾集中收集，定期由环卫部门统一处理</w:t>
            </w:r>
            <w:r>
              <w:rPr>
                <w:rFonts w:hint="default"/>
                <w:szCs w:val="21"/>
                <w:lang w:val="en-US" w:eastAsia="zh-CN"/>
              </w:rPr>
              <w:t>。</w:t>
            </w:r>
          </w:p>
          <w:p w14:paraId="0DD17DFC">
            <w:pPr>
              <w:pStyle w:val="3"/>
              <w:rPr>
                <w:rFonts w:hint="default"/>
                <w:lang w:val="en-US" w:eastAsia="zh-CN"/>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466B">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p>
        </w:tc>
      </w:tr>
      <w:bookmarkEnd w:id="1"/>
    </w:tbl>
    <w:p w14:paraId="0931CD24">
      <w:pPr>
        <w:pStyle w:val="14"/>
        <w:shd w:val="clear" w:color="auto" w:fill="FFFFFF"/>
        <w:spacing w:before="0" w:beforeAutospacing="0" w:after="0" w:afterAutospacing="0" w:line="420" w:lineRule="atLeast"/>
        <w:rPr>
          <w:rFonts w:ascii="Times New Roman" w:hAnsi="Times New Roman" w:cs="Times New Roman"/>
          <w:color w:val="333333"/>
          <w:sz w:val="21"/>
          <w:szCs w:val="21"/>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B4223"/>
    <w:multiLevelType w:val="singleLevel"/>
    <w:tmpl w:val="E22B4223"/>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0MGQ0NzhkZTY1NTAwZGQyMjljNDk3MTkxMTIwYTMifQ=="/>
    <w:docVar w:name="KSO_WPS_MARK_KEY" w:val="29697520-b35d-40ac-9cc0-c9a84a892c6b"/>
  </w:docVars>
  <w:rsids>
    <w:rsidRoot w:val="000C1E40"/>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85613"/>
    <w:rsid w:val="001A3E00"/>
    <w:rsid w:val="001B02AF"/>
    <w:rsid w:val="001C0303"/>
    <w:rsid w:val="001F2A20"/>
    <w:rsid w:val="001F688E"/>
    <w:rsid w:val="00232FC5"/>
    <w:rsid w:val="00233DF0"/>
    <w:rsid w:val="002375C6"/>
    <w:rsid w:val="002376C5"/>
    <w:rsid w:val="00243BB6"/>
    <w:rsid w:val="002606AE"/>
    <w:rsid w:val="00260E60"/>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33F40"/>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55355"/>
    <w:rsid w:val="00561EF2"/>
    <w:rsid w:val="0057106D"/>
    <w:rsid w:val="00580402"/>
    <w:rsid w:val="00583AC5"/>
    <w:rsid w:val="00587B9F"/>
    <w:rsid w:val="005971BA"/>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2C5E"/>
    <w:rsid w:val="00897743"/>
    <w:rsid w:val="008B7840"/>
    <w:rsid w:val="008D0837"/>
    <w:rsid w:val="008E3C81"/>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C4F03"/>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5E5D"/>
    <w:rsid w:val="00FD6778"/>
    <w:rsid w:val="00FD6C96"/>
    <w:rsid w:val="015679D0"/>
    <w:rsid w:val="02397D9B"/>
    <w:rsid w:val="027C0AF3"/>
    <w:rsid w:val="066D0FB5"/>
    <w:rsid w:val="07794418"/>
    <w:rsid w:val="08670714"/>
    <w:rsid w:val="0BBC0D77"/>
    <w:rsid w:val="0C965A09"/>
    <w:rsid w:val="0CD23C0D"/>
    <w:rsid w:val="0E796568"/>
    <w:rsid w:val="135B0E75"/>
    <w:rsid w:val="136441CE"/>
    <w:rsid w:val="14730634"/>
    <w:rsid w:val="14D06153"/>
    <w:rsid w:val="1728739A"/>
    <w:rsid w:val="17606DE5"/>
    <w:rsid w:val="17AC1CA0"/>
    <w:rsid w:val="197634BA"/>
    <w:rsid w:val="1AE35187"/>
    <w:rsid w:val="1F832C29"/>
    <w:rsid w:val="2572277A"/>
    <w:rsid w:val="29D94C15"/>
    <w:rsid w:val="2B1673AF"/>
    <w:rsid w:val="2C02237E"/>
    <w:rsid w:val="2CD72E09"/>
    <w:rsid w:val="2E070155"/>
    <w:rsid w:val="2EC456C9"/>
    <w:rsid w:val="306C6050"/>
    <w:rsid w:val="3437693D"/>
    <w:rsid w:val="36D2019E"/>
    <w:rsid w:val="3747333B"/>
    <w:rsid w:val="379876F3"/>
    <w:rsid w:val="38B92017"/>
    <w:rsid w:val="3C396779"/>
    <w:rsid w:val="3DCB2BE5"/>
    <w:rsid w:val="3DD516A1"/>
    <w:rsid w:val="468974CC"/>
    <w:rsid w:val="47B70069"/>
    <w:rsid w:val="4C883D82"/>
    <w:rsid w:val="4E524648"/>
    <w:rsid w:val="4EFB083B"/>
    <w:rsid w:val="50270E47"/>
    <w:rsid w:val="5239458A"/>
    <w:rsid w:val="54E413A6"/>
    <w:rsid w:val="585F3F16"/>
    <w:rsid w:val="59A062F0"/>
    <w:rsid w:val="5BFD1122"/>
    <w:rsid w:val="5EF908A6"/>
    <w:rsid w:val="60DD2497"/>
    <w:rsid w:val="6135490B"/>
    <w:rsid w:val="63E267B3"/>
    <w:rsid w:val="640F6E0B"/>
    <w:rsid w:val="68A738EC"/>
    <w:rsid w:val="68F62348"/>
    <w:rsid w:val="6D7C1C84"/>
    <w:rsid w:val="6DD67C11"/>
    <w:rsid w:val="6F72024E"/>
    <w:rsid w:val="7047716A"/>
    <w:rsid w:val="70981F36"/>
    <w:rsid w:val="7185070D"/>
    <w:rsid w:val="71DB657E"/>
    <w:rsid w:val="72A03570"/>
    <w:rsid w:val="72D57472"/>
    <w:rsid w:val="72FA24A4"/>
    <w:rsid w:val="73DE5EB2"/>
    <w:rsid w:val="75D8762F"/>
    <w:rsid w:val="77862097"/>
    <w:rsid w:val="78DF32BA"/>
    <w:rsid w:val="794744F9"/>
    <w:rsid w:val="7C2E19A1"/>
    <w:rsid w:val="7C9B487E"/>
    <w:rsid w:val="7CDE5175"/>
    <w:rsid w:val="7E6B6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样式 纯文本文章正文 + 左  0 字符"/>
    <w:basedOn w:val="1"/>
    <w:semiHidden/>
    <w:qFormat/>
    <w:uiPriority w:val="0"/>
    <w:pPr>
      <w:ind w:firstLine="560" w:firstLineChars="200"/>
    </w:pPr>
    <w:rPr>
      <w:rFonts w:hAnsi="Courier New" w:cs="宋体"/>
      <w:szCs w:val="20"/>
    </w:rPr>
  </w:style>
  <w:style w:type="paragraph" w:styleId="3">
    <w:name w:val="Plain Text"/>
    <w:basedOn w:val="1"/>
    <w:qFormat/>
    <w:uiPriority w:val="0"/>
    <w:pPr>
      <w:adjustRightInd w:val="0"/>
      <w:textAlignment w:val="baseline"/>
    </w:pPr>
    <w:rPr>
      <w:spacing w:val="-2"/>
      <w:kern w:val="28"/>
    </w:rPr>
  </w:style>
  <w:style w:type="paragraph" w:styleId="4">
    <w:name w:val="Balloon Text"/>
    <w:basedOn w:val="1"/>
    <w:link w:val="15"/>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qFormat/>
    <w:uiPriority w:val="0"/>
    <w:rPr>
      <w:rFonts w:ascii="Times New Roman" w:hAnsi="Times New Roman"/>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customStyle="1" w:styleId="12">
    <w:name w:val="表格"/>
    <w:basedOn w:val="13"/>
    <w:next w:val="1"/>
    <w:unhideWhenUsed/>
    <w:qFormat/>
    <w:uiPriority w:val="1"/>
    <w:pPr>
      <w:jc w:val="center"/>
    </w:pPr>
    <w:rPr>
      <w:rFonts w:ascii="Times New Roman" w:eastAsia="宋体" w:cs="宋体"/>
      <w:snapToGrid w:val="0"/>
    </w:rPr>
  </w:style>
  <w:style w:type="paragraph" w:customStyle="1" w:styleId="13">
    <w:name w:val="表格格式"/>
    <w:basedOn w:val="1"/>
    <w:qFormat/>
    <w:uiPriority w:val="99"/>
    <w:rPr>
      <w:rFonts w:ascii="仿宋_GB2312" w:hAnsi="Times New Roman" w:eastAsia="仿宋_GB2312"/>
      <w:bCs/>
      <w:color w:val="000000"/>
      <w:szCs w:val="21"/>
    </w:rPr>
  </w:style>
  <w:style w:type="paragraph" w:customStyle="1" w:styleId="14">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5">
    <w:name w:val="批注框文本 Char"/>
    <w:basedOn w:val="10"/>
    <w:link w:val="4"/>
    <w:semiHidden/>
    <w:qFormat/>
    <w:uiPriority w:val="99"/>
    <w:rPr>
      <w:sz w:val="18"/>
      <w:szCs w:val="18"/>
    </w:rPr>
  </w:style>
  <w:style w:type="character" w:customStyle="1" w:styleId="16">
    <w:name w:val="页眉 Char"/>
    <w:basedOn w:val="10"/>
    <w:link w:val="6"/>
    <w:qFormat/>
    <w:uiPriority w:val="99"/>
    <w:rPr>
      <w:sz w:val="18"/>
      <w:szCs w:val="18"/>
    </w:rPr>
  </w:style>
  <w:style w:type="character" w:customStyle="1" w:styleId="17">
    <w:name w:val="页脚 Char"/>
    <w:basedOn w:val="10"/>
    <w:link w:val="5"/>
    <w:qFormat/>
    <w:uiPriority w:val="99"/>
    <w:rPr>
      <w:sz w:val="18"/>
      <w:szCs w:val="18"/>
    </w:rPr>
  </w:style>
  <w:style w:type="paragraph" w:styleId="18">
    <w:name w:val="List Paragraph"/>
    <w:basedOn w:val="1"/>
    <w:qFormat/>
    <w:uiPriority w:val="34"/>
    <w:pPr>
      <w:spacing w:before="186"/>
      <w:ind w:left="2557" w:hanging="853"/>
    </w:pPr>
    <w:rPr>
      <w:rFonts w:ascii="宋体" w:hAnsi="宋体" w:eastAsia="宋体" w:cs="宋体"/>
      <w:szCs w:val="24"/>
      <w:lang w:val="zh-CN" w:bidi="zh-CN"/>
    </w:rPr>
  </w:style>
  <w:style w:type="character" w:customStyle="1" w:styleId="19">
    <w:name w:val="font41"/>
    <w:basedOn w:val="10"/>
    <w:qFormat/>
    <w:uiPriority w:val="0"/>
    <w:rPr>
      <w:rFonts w:hint="default" w:ascii="Times New Roman" w:hAnsi="Times New Roman" w:cs="Times New Roman"/>
      <w:b/>
      <w:bCs/>
      <w:color w:val="000000"/>
      <w:sz w:val="24"/>
      <w:szCs w:val="24"/>
      <w:u w:val="none"/>
    </w:rPr>
  </w:style>
  <w:style w:type="character" w:customStyle="1" w:styleId="20">
    <w:name w:val="font31"/>
    <w:basedOn w:val="10"/>
    <w:qFormat/>
    <w:uiPriority w:val="0"/>
    <w:rPr>
      <w:rFonts w:hint="eastAsia" w:ascii="宋体" w:hAnsi="宋体" w:eastAsia="宋体" w:cs="宋体"/>
      <w:b/>
      <w:bCs/>
      <w:color w:val="000000"/>
      <w:sz w:val="24"/>
      <w:szCs w:val="24"/>
      <w:u w:val="none"/>
    </w:rPr>
  </w:style>
  <w:style w:type="character" w:customStyle="1" w:styleId="21">
    <w:name w:val="font21"/>
    <w:basedOn w:val="10"/>
    <w:qFormat/>
    <w:uiPriority w:val="0"/>
    <w:rPr>
      <w:rFonts w:hint="default" w:ascii="Times New Roman" w:hAnsi="Times New Roman" w:cs="Times New Roman"/>
      <w:color w:val="000000"/>
      <w:sz w:val="24"/>
      <w:szCs w:val="24"/>
      <w:u w:val="none"/>
    </w:rPr>
  </w:style>
  <w:style w:type="character" w:customStyle="1" w:styleId="22">
    <w:name w:val="font51"/>
    <w:basedOn w:val="1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2</Pages>
  <Words>1292</Words>
  <Characters>1433</Characters>
  <Lines>6</Lines>
  <Paragraphs>1</Paragraphs>
  <TotalTime>2</TotalTime>
  <ScaleCrop>false</ScaleCrop>
  <LinksUpToDate>false</LinksUpToDate>
  <CharactersWithSpaces>1443</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2026-04-09T01:21:42Z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C0B0DDDB7084412B998EEA4AF7D1153B_13</vt:lpwstr>
  </property>
  <property fmtid="{D5CDD505-2E9C-101B-9397-08002B2CF9AE}" pid="4" name="KSOTemplateDocerSaveRecord">
    <vt:lpwstr>eyJoZGlkIjoiNzllYTBkNjA2MDczZjg3MzI5OWU0Mjc2NzMzNTAyZDAiLCJ1c2VySWQiOiIxMzYzNjk0NiJ9</vt:lpwstr>
  </property>
</Properties>
</file>