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5630" w:type="dxa"/>
        <w:tblInd w:w="93" w:type="dxa"/>
        <w:tblLayout w:type="fixed"/>
        <w:tblCellMar>
          <w:top w:w="0" w:type="dxa"/>
          <w:left w:w="108" w:type="dxa"/>
          <w:bottom w:w="0" w:type="dxa"/>
          <w:right w:w="108" w:type="dxa"/>
        </w:tblCellMar>
      </w:tblPr>
      <w:tblGrid>
        <w:gridCol w:w="457"/>
        <w:gridCol w:w="1063"/>
        <w:gridCol w:w="1150"/>
        <w:gridCol w:w="800"/>
        <w:gridCol w:w="850"/>
        <w:gridCol w:w="3439"/>
        <w:gridCol w:w="6991"/>
        <w:gridCol w:w="880"/>
      </w:tblGrid>
      <w:tr w14:paraId="0BA48DA4">
        <w:tblPrEx>
          <w:tblCellMar>
            <w:top w:w="0" w:type="dxa"/>
            <w:left w:w="108" w:type="dxa"/>
            <w:bottom w:w="0" w:type="dxa"/>
            <w:right w:w="108" w:type="dxa"/>
          </w:tblCellMar>
        </w:tblPrEx>
        <w:trPr>
          <w:trHeight w:val="631"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21A129F">
            <w:pPr>
              <w:widowControl/>
              <w:jc w:val="center"/>
              <w:textAlignment w:val="center"/>
              <w:rPr>
                <w:rFonts w:ascii="宋体" w:hAnsi="宋体" w:eastAsia="宋体" w:cs="宋体"/>
                <w:b/>
                <w:bCs/>
                <w:color w:val="auto"/>
                <w:sz w:val="24"/>
                <w:szCs w:val="24"/>
              </w:rPr>
            </w:pPr>
            <w:r>
              <w:rPr>
                <w:rFonts w:hint="eastAsia" w:ascii="宋体" w:hAnsi="宋体" w:eastAsia="宋体" w:cs="宋体"/>
                <w:b/>
                <w:bCs/>
                <w:color w:val="auto"/>
                <w:kern w:val="0"/>
                <w:sz w:val="24"/>
                <w:szCs w:val="24"/>
              </w:rPr>
              <w:t>呼伦贝尔市生态环境局额尔古纳市分局关于</w:t>
            </w:r>
            <w:r>
              <w:rPr>
                <w:rFonts w:ascii="Times New Roman" w:hAnsi="Times New Roman" w:eastAsia="宋体" w:cs="Times New Roman"/>
                <w:b/>
                <w:bCs/>
                <w:color w:val="auto"/>
                <w:sz w:val="24"/>
                <w:szCs w:val="24"/>
              </w:rPr>
              <w:t>202</w:t>
            </w:r>
            <w:r>
              <w:rPr>
                <w:rFonts w:hint="eastAsia" w:ascii="Times New Roman" w:hAnsi="Times New Roman" w:eastAsia="宋体" w:cs="Times New Roman"/>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月</w:t>
            </w:r>
            <w:r>
              <w:rPr>
                <w:rFonts w:hint="eastAsia" w:ascii="宋体" w:hAnsi="宋体" w:eastAsia="宋体" w:cs="宋体"/>
                <w:b/>
                <w:bCs/>
                <w:color w:val="auto"/>
                <w:sz w:val="24"/>
                <w:szCs w:val="24"/>
                <w:lang w:val="en-US" w:eastAsia="zh-CN"/>
              </w:rPr>
              <w:t>23</w:t>
            </w:r>
            <w:r>
              <w:rPr>
                <w:rFonts w:hint="eastAsia" w:ascii="宋体" w:hAnsi="宋体" w:eastAsia="宋体" w:cs="宋体"/>
                <w:b/>
                <w:bCs/>
                <w:color w:val="auto"/>
                <w:sz w:val="24"/>
                <w:szCs w:val="24"/>
              </w:rPr>
              <w:t>日受理建设项目</w:t>
            </w:r>
            <w:bookmarkStart w:id="0" w:name="OLE_LINK1"/>
            <w:r>
              <w:rPr>
                <w:rFonts w:hint="eastAsia" w:ascii="宋体" w:hAnsi="宋体" w:eastAsia="宋体" w:cs="宋体"/>
                <w:b/>
                <w:bCs/>
                <w:color w:val="auto"/>
                <w:sz w:val="24"/>
                <w:szCs w:val="24"/>
              </w:rPr>
              <w:t>环评拟审批决定的公示</w:t>
            </w:r>
            <w:bookmarkEnd w:id="0"/>
          </w:p>
        </w:tc>
      </w:tr>
      <w:tr w14:paraId="1F44B335">
        <w:tblPrEx>
          <w:tblCellMar>
            <w:top w:w="0" w:type="dxa"/>
            <w:left w:w="108" w:type="dxa"/>
            <w:bottom w:w="0" w:type="dxa"/>
            <w:right w:w="108" w:type="dxa"/>
          </w:tblCellMar>
        </w:tblPrEx>
        <w:trPr>
          <w:trHeight w:val="1779"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054708">
            <w:pPr>
              <w:widowControl/>
              <w:ind w:firstLine="480" w:firstLineChars="200"/>
              <w:jc w:val="left"/>
              <w:textAlignment w:val="center"/>
              <w:rPr>
                <w:rFonts w:ascii="宋体" w:hAnsi="宋体" w:eastAsia="宋体" w:cs="宋体"/>
                <w:color w:val="auto"/>
                <w:sz w:val="24"/>
                <w:szCs w:val="24"/>
              </w:rPr>
            </w:pPr>
            <w:r>
              <w:rPr>
                <w:rFonts w:hint="eastAsia" w:ascii="宋体" w:hAnsi="宋体" w:eastAsia="宋体" w:cs="宋体"/>
                <w:color w:val="auto"/>
                <w:kern w:val="0"/>
                <w:sz w:val="24"/>
                <w:szCs w:val="24"/>
              </w:rPr>
              <w:t>根据建设项目环境影响评价审批程序的有关规定，经审查，我局拟对</w:t>
            </w:r>
            <w:r>
              <w:rPr>
                <w:rFonts w:ascii="Times New Roman" w:hAnsi="Times New Roman" w:eastAsia="宋体" w:cs="Times New Roman"/>
                <w:color w:val="auto"/>
                <w:sz w:val="24"/>
                <w:szCs w:val="24"/>
              </w:rPr>
              <w:t>202</w:t>
            </w:r>
            <w:r>
              <w:rPr>
                <w:rFonts w:hint="eastAsia" w:ascii="Times New Roman" w:hAnsi="Times New Roman" w:eastAsia="宋体" w:cs="Times New Roman"/>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23</w:t>
            </w:r>
            <w:bookmarkStart w:id="3" w:name="_GoBack"/>
            <w:bookmarkEnd w:id="3"/>
            <w:r>
              <w:rPr>
                <w:rFonts w:hint="eastAsia" w:ascii="宋体" w:hAnsi="宋体" w:eastAsia="宋体" w:cs="宋体"/>
                <w:color w:val="auto"/>
                <w:sz w:val="24"/>
                <w:szCs w:val="24"/>
              </w:rPr>
              <w:t>日受理的建设项目环评作出审批意见。为保证该行政许可的严肃性和公正性，现将拟通过审批的环境影响评价文件基本情况予以公示，公示期为自公示起开始</w:t>
            </w:r>
            <w:r>
              <w:rPr>
                <w:rFonts w:ascii="Times New Roman" w:hAnsi="Times New Roman" w:eastAsia="宋体" w:cs="Times New Roman"/>
                <w:color w:val="auto"/>
                <w:sz w:val="24"/>
                <w:szCs w:val="24"/>
              </w:rPr>
              <w:t>5</w:t>
            </w:r>
            <w:r>
              <w:rPr>
                <w:rFonts w:hint="eastAsia" w:ascii="宋体" w:hAnsi="宋体" w:eastAsia="宋体" w:cs="宋体"/>
                <w:color w:val="auto"/>
                <w:sz w:val="24"/>
                <w:szCs w:val="24"/>
              </w:rPr>
              <w:t>个工作日。听证权利告知：依据《中华人民共和国行政许可法》，自公示起五日内申请人、利害关系人可对以下拟作出的建设项目环境影响评价文件审批意见要求听证。</w:t>
            </w:r>
            <w:r>
              <w:rPr>
                <w:rFonts w:ascii="Times New Roman" w:hAnsi="Times New Roman" w:eastAsia="宋体" w:cs="Times New Roman"/>
                <w:color w:val="auto"/>
                <w:sz w:val="24"/>
                <w:szCs w:val="24"/>
              </w:rPr>
              <w:br w:type="textWrapping"/>
            </w:r>
            <w:r>
              <w:rPr>
                <w:rFonts w:hint="eastAsia" w:ascii="宋体" w:hAnsi="宋体" w:eastAsia="宋体" w:cs="宋体"/>
                <w:color w:val="auto"/>
                <w:sz w:val="24"/>
                <w:szCs w:val="24"/>
              </w:rPr>
              <w:t>联系电话：</w:t>
            </w:r>
            <w:r>
              <w:rPr>
                <w:rFonts w:ascii="Times New Roman" w:hAnsi="Times New Roman" w:eastAsia="宋体" w:cs="Times New Roman"/>
                <w:color w:val="auto"/>
                <w:sz w:val="24"/>
                <w:szCs w:val="24"/>
              </w:rPr>
              <w:t xml:space="preserve">0470-6801566 </w:t>
            </w:r>
            <w:r>
              <w:rPr>
                <w:rFonts w:hint="eastAsia" w:ascii="宋体" w:hAnsi="宋体" w:eastAsia="宋体" w:cs="宋体"/>
                <w:color w:val="auto"/>
                <w:sz w:val="24"/>
                <w:szCs w:val="24"/>
              </w:rPr>
              <w:t>传</w:t>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真：</w:t>
            </w:r>
            <w:r>
              <w:rPr>
                <w:rFonts w:ascii="Times New Roman" w:hAnsi="Times New Roman" w:eastAsia="宋体" w:cs="Times New Roman"/>
                <w:color w:val="auto"/>
                <w:sz w:val="24"/>
                <w:szCs w:val="24"/>
              </w:rPr>
              <w:t>0470-6801566</w:t>
            </w:r>
            <w:r>
              <w:rPr>
                <w:rFonts w:hint="eastAsia" w:ascii="宋体" w:hAnsi="宋体" w:eastAsia="宋体" w:cs="宋体"/>
                <w:color w:val="auto"/>
                <w:sz w:val="24"/>
                <w:szCs w:val="24"/>
              </w:rPr>
              <w:t>通讯地址：额尔古纳市拉布大林街道办事处额尔古纳大街</w:t>
            </w:r>
            <w:r>
              <w:rPr>
                <w:rFonts w:ascii="Times New Roman" w:hAnsi="Times New Roman" w:eastAsia="宋体" w:cs="Times New Roman"/>
                <w:color w:val="auto"/>
                <w:sz w:val="24"/>
                <w:szCs w:val="24"/>
              </w:rPr>
              <w:t>63</w:t>
            </w:r>
            <w:r>
              <w:rPr>
                <w:rFonts w:hint="eastAsia" w:ascii="宋体" w:hAnsi="宋体" w:eastAsia="宋体" w:cs="宋体"/>
                <w:color w:val="auto"/>
                <w:sz w:val="24"/>
                <w:szCs w:val="24"/>
              </w:rPr>
              <w:t>号</w:t>
            </w:r>
            <w:r>
              <w:rPr>
                <w:rFonts w:ascii="Times New Roman" w:hAnsi="Times New Roman" w:eastAsia="宋体" w:cs="Times New Roman"/>
                <w:color w:val="auto"/>
                <w:sz w:val="24"/>
                <w:szCs w:val="24"/>
              </w:rPr>
              <w:t>-</w:t>
            </w:r>
            <w:r>
              <w:rPr>
                <w:rFonts w:hint="eastAsia" w:ascii="宋体" w:hAnsi="宋体" w:eastAsia="宋体" w:cs="宋体"/>
                <w:color w:val="auto"/>
                <w:sz w:val="24"/>
                <w:szCs w:val="24"/>
              </w:rPr>
              <w:t>呼伦贝尔市生态环境局额尔古纳市分局</w:t>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邮</w:t>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编：</w:t>
            </w:r>
            <w:r>
              <w:rPr>
                <w:rFonts w:ascii="Times New Roman" w:hAnsi="Times New Roman" w:eastAsia="宋体" w:cs="Times New Roman"/>
                <w:color w:val="auto"/>
                <w:sz w:val="24"/>
                <w:szCs w:val="24"/>
              </w:rPr>
              <w:t>022250</w:t>
            </w:r>
          </w:p>
        </w:tc>
      </w:tr>
      <w:tr w14:paraId="47494791">
        <w:tblPrEx>
          <w:tblCellMar>
            <w:top w:w="0" w:type="dxa"/>
            <w:left w:w="108" w:type="dxa"/>
            <w:bottom w:w="0" w:type="dxa"/>
            <w:right w:w="108" w:type="dxa"/>
          </w:tblCellMar>
        </w:tblPrEx>
        <w:trPr>
          <w:trHeight w:val="13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1D00">
            <w:pPr>
              <w:widowControl/>
              <w:jc w:val="center"/>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序号</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46B0">
            <w:pPr>
              <w:widowControl/>
              <w:jc w:val="center"/>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项目名称</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6975">
            <w:pPr>
              <w:widowControl/>
              <w:jc w:val="center"/>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建设地点</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EDC2">
            <w:pPr>
              <w:widowControl/>
              <w:jc w:val="center"/>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建设单位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8DF7">
            <w:pPr>
              <w:widowControl/>
              <w:jc w:val="center"/>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环境影响评价机构</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6E6B">
            <w:pPr>
              <w:widowControl/>
              <w:jc w:val="center"/>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项目概况</w:t>
            </w:r>
          </w:p>
        </w:tc>
        <w:tc>
          <w:tcPr>
            <w:tcW w:w="6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72C2">
            <w:pPr>
              <w:widowControl/>
              <w:jc w:val="center"/>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削减生态环境影响的主要污染防治措施</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A0B6">
            <w:pPr>
              <w:widowControl/>
              <w:textAlignment w:val="center"/>
              <w:rPr>
                <w:rFonts w:ascii="宋体" w:hAnsi="宋体" w:eastAsia="宋体" w:cs="宋体"/>
                <w:b/>
                <w:bCs/>
                <w:color w:val="000000"/>
                <w:sz w:val="24"/>
                <w:szCs w:val="24"/>
              </w:rPr>
            </w:pPr>
            <w:r>
              <w:rPr>
                <w:rFonts w:hint="eastAsia" w:ascii="宋体" w:hAnsi="宋体" w:eastAsia="宋体" w:cs="宋体"/>
                <w:b/>
                <w:bCs/>
                <w:color w:val="000000"/>
                <w:kern w:val="0"/>
                <w:sz w:val="24"/>
                <w:szCs w:val="24"/>
              </w:rPr>
              <w:t>公众参与情况</w:t>
            </w:r>
          </w:p>
        </w:tc>
      </w:tr>
      <w:tr w14:paraId="75E2701F">
        <w:tblPrEx>
          <w:tblCellMar>
            <w:top w:w="0" w:type="dxa"/>
            <w:left w:w="108" w:type="dxa"/>
            <w:bottom w:w="0" w:type="dxa"/>
            <w:right w:w="108" w:type="dxa"/>
          </w:tblCellMar>
        </w:tblPrEx>
        <w:trPr>
          <w:trHeight w:val="379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ECE3">
            <w:pPr>
              <w:widowControl/>
              <w:jc w:val="center"/>
              <w:textAlignment w:val="center"/>
              <w:rPr>
                <w:rFonts w:ascii="Times New Roman" w:hAnsi="Times New Roman" w:eastAsia="宋体" w:cs="Times New Roman"/>
                <w:color w:val="000000"/>
                <w:sz w:val="24"/>
                <w:szCs w:val="24"/>
              </w:rPr>
            </w:pPr>
            <w:bookmarkStart w:id="1" w:name="OLE_LINK2" w:colFirst="1" w:colLast="2"/>
            <w:r>
              <w:rPr>
                <w:rFonts w:ascii="Times New Roman" w:hAnsi="Times New Roman" w:eastAsia="宋体" w:cs="Times New Roman"/>
                <w:color w:val="000000"/>
                <w:kern w:val="0"/>
                <w:sz w:val="24"/>
                <w:szCs w:val="24"/>
              </w:rPr>
              <w:t>1</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F95A">
            <w:pPr>
              <w:spacing w:line="400" w:lineRule="exact"/>
              <w:jc w:val="center"/>
              <w:rPr>
                <w:rFonts w:ascii="宋体" w:hAnsi="宋体" w:eastAsia="宋体" w:cs="宋体"/>
                <w:color w:val="000000"/>
                <w:szCs w:val="21"/>
              </w:rPr>
            </w:pPr>
            <w:r>
              <w:rPr>
                <w:rFonts w:hint="eastAsia" w:ascii="宋体" w:hAnsi="宋体" w:eastAsia="宋体" w:cs="宋体"/>
                <w:color w:val="000000"/>
                <w:szCs w:val="21"/>
                <w:lang w:eastAsia="zh-CN"/>
              </w:rPr>
              <w:t>呼伦贝尔农垦三河农牧场有限公司农牧业社会化服务综合体建设项目</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032E">
            <w:pPr>
              <w:spacing w:line="400" w:lineRule="exact"/>
              <w:jc w:val="center"/>
              <w:rPr>
                <w:rFonts w:ascii="宋体" w:hAnsi="宋体" w:eastAsia="宋体" w:cs="宋体"/>
                <w:color w:val="000000"/>
                <w:szCs w:val="21"/>
              </w:rPr>
            </w:pPr>
            <w:r>
              <w:rPr>
                <w:rFonts w:hint="eastAsia" w:ascii="宋体" w:hAnsi="宋体" w:eastAsia="宋体" w:cs="宋体"/>
                <w:color w:val="000000"/>
                <w:szCs w:val="21"/>
              </w:rPr>
              <w:t>呼伦贝尔市额尔古纳市三河回族乡三河村三和家园西北侧</w:t>
            </w:r>
            <w:r>
              <w:rPr>
                <w:rFonts w:hint="eastAsia" w:ascii="宋体" w:hAnsi="宋体" w:eastAsia="宋体" w:cs="宋体"/>
                <w:color w:val="000000"/>
                <w:szCs w:val="21"/>
                <w:lang w:eastAsia="zh-CN"/>
              </w:rPr>
              <w:t>（原三河粮库院内）</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AAF0">
            <w:pPr>
              <w:spacing w:line="400" w:lineRule="exact"/>
              <w:jc w:val="center"/>
              <w:rPr>
                <w:rFonts w:ascii="宋体" w:hAnsi="宋体" w:eastAsia="宋体" w:cs="宋体"/>
                <w:color w:val="000000"/>
                <w:szCs w:val="21"/>
              </w:rPr>
            </w:pPr>
            <w:r>
              <w:rPr>
                <w:rFonts w:hint="eastAsia"/>
                <w:color w:val="auto"/>
                <w:lang w:eastAsia="zh-CN"/>
              </w:rPr>
              <w:t>呼伦贝尔农垦三河农牧场有限公司</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E116">
            <w:pPr>
              <w:spacing w:line="400" w:lineRule="exact"/>
              <w:jc w:val="center"/>
              <w:rPr>
                <w:rFonts w:hint="eastAsia" w:ascii="宋体" w:hAnsi="宋体" w:eastAsia="宋体" w:cs="宋体"/>
                <w:color w:val="000000"/>
                <w:szCs w:val="21"/>
                <w:lang w:eastAsia="zh-CN"/>
              </w:rPr>
            </w:pPr>
            <w:r>
              <w:rPr>
                <w:rFonts w:hint="eastAsia"/>
                <w:color w:val="auto"/>
                <w:lang w:val="en-US" w:eastAsia="zh-CN"/>
              </w:rPr>
              <w:t>内蒙古清露环保科技有限公司</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3EB7">
            <w:pPr>
              <w:widowControl/>
              <w:textAlignment w:val="center"/>
              <w:rPr>
                <w:rFonts w:ascii="宋体" w:hAnsi="宋体" w:eastAsia="宋体" w:cs="宋体"/>
                <w:color w:val="000000"/>
                <w:szCs w:val="21"/>
              </w:rPr>
            </w:pPr>
            <w:r>
              <w:rPr>
                <w:rFonts w:hint="eastAsia"/>
                <w:szCs w:val="21"/>
              </w:rPr>
              <w:t>新建信息化服务培训中心5500平方米，一站式服务用房360平方米，门卫室117平方米，院套大门3座，多功能库房7200平方米，平房仓3600平方米，晾晒棚3420平方米，粮食筒仓10座1500平方米，烘干塔2座（年加工小麦9万吨，其中一期工程年加工小麦4.5万吨、三期工程年加工小麦4.5万吨），晾晒及场地硬化60000平方米，设备及车辆用房1000平方米，农机停放区36835平方米，广场硬化铺装5500平方米，道路工程19000平方米，绿化面积15000平方米，改造原粮食筒仓及场地平整40800平方米，其他附属配套设施等。</w:t>
            </w:r>
          </w:p>
        </w:tc>
        <w:tc>
          <w:tcPr>
            <w:tcW w:w="6991" w:type="dxa"/>
            <w:tcBorders>
              <w:top w:val="single" w:color="000000" w:sz="4" w:space="0"/>
              <w:left w:val="single" w:color="000000" w:sz="4" w:space="0"/>
              <w:bottom w:val="single" w:color="000000" w:sz="4" w:space="0"/>
              <w:right w:val="single" w:color="000000" w:sz="4" w:space="0"/>
            </w:tcBorders>
            <w:shd w:val="clear" w:color="auto" w:fill="auto"/>
          </w:tcPr>
          <w:p w14:paraId="3843183A">
            <w:pPr>
              <w:rPr>
                <w:rFonts w:hint="eastAsia"/>
                <w:color w:val="000000"/>
                <w:szCs w:val="21"/>
              </w:rPr>
            </w:pPr>
            <w:r>
              <w:rPr>
                <w:rFonts w:hint="eastAsia"/>
                <w:color w:val="000000"/>
                <w:szCs w:val="21"/>
              </w:rPr>
              <w:t>1、废水污染防治措施</w:t>
            </w:r>
          </w:p>
          <w:p w14:paraId="7B139466">
            <w:pPr>
              <w:rPr>
                <w:rFonts w:hint="eastAsia" w:eastAsiaTheme="minorEastAsia"/>
                <w:color w:val="000000"/>
                <w:szCs w:val="21"/>
                <w:lang w:val="zh-CN" w:eastAsia="zh-CN"/>
              </w:rPr>
            </w:pPr>
            <w:r>
              <w:rPr>
                <w:rFonts w:hint="eastAsia"/>
                <w:bCs/>
                <w:szCs w:val="21"/>
              </w:rPr>
              <w:t>项目无生产废水产生</w:t>
            </w:r>
            <w:r>
              <w:rPr>
                <w:rFonts w:hint="eastAsia"/>
                <w:bCs/>
                <w:szCs w:val="21"/>
                <w:lang w:eastAsia="zh-CN"/>
              </w:rPr>
              <w:t>。</w:t>
            </w:r>
            <w:r>
              <w:rPr>
                <w:rFonts w:hint="eastAsia"/>
                <w:bCs/>
                <w:szCs w:val="21"/>
                <w:lang w:val="en-US" w:eastAsia="zh-CN"/>
              </w:rPr>
              <w:t>生活污水</w:t>
            </w:r>
            <w:r>
              <w:rPr>
                <w:rFonts w:hint="eastAsia"/>
                <w:bCs/>
                <w:szCs w:val="21"/>
              </w:rPr>
              <w:t>经化粪池收集，定期由吸污车拉运至三河回族乡污水处理站处理。</w:t>
            </w:r>
          </w:p>
          <w:p w14:paraId="3A27F337">
            <w:pPr>
              <w:rPr>
                <w:color w:val="000000"/>
                <w:szCs w:val="21"/>
              </w:rPr>
            </w:pPr>
            <w:r>
              <w:rPr>
                <w:rFonts w:hint="eastAsia"/>
                <w:color w:val="000000"/>
                <w:szCs w:val="21"/>
              </w:rPr>
              <w:t>2、废气污染防治措施</w:t>
            </w:r>
          </w:p>
          <w:p w14:paraId="65C8BBBB">
            <w:pPr>
              <w:rPr>
                <w:rFonts w:hint="eastAsia"/>
                <w:szCs w:val="21"/>
              </w:rPr>
            </w:pPr>
            <w:r>
              <w:rPr>
                <w:rFonts w:hint="eastAsia"/>
                <w:szCs w:val="21"/>
                <w:lang w:val="en-US" w:eastAsia="zh-CN"/>
              </w:rPr>
              <w:t>烘干塔配套的两台</w:t>
            </w:r>
            <w:r>
              <w:rPr>
                <w:rFonts w:hint="eastAsia"/>
                <w:szCs w:val="21"/>
              </w:rPr>
              <w:t>热风炉</w:t>
            </w:r>
            <w:r>
              <w:rPr>
                <w:rFonts w:hint="eastAsia"/>
                <w:szCs w:val="21"/>
                <w:lang w:val="en-US" w:eastAsia="zh-CN"/>
              </w:rPr>
              <w:t>均</w:t>
            </w:r>
            <w:r>
              <w:rPr>
                <w:rFonts w:hint="eastAsia"/>
                <w:szCs w:val="21"/>
              </w:rPr>
              <w:t>采取低氮燃烧技术后废气</w:t>
            </w:r>
            <w:r>
              <w:rPr>
                <w:rFonts w:hint="eastAsia"/>
                <w:szCs w:val="21"/>
                <w:lang w:val="en-US" w:eastAsia="zh-CN"/>
              </w:rPr>
              <w:t>分别</w:t>
            </w:r>
            <w:r>
              <w:rPr>
                <w:rFonts w:hint="eastAsia"/>
                <w:szCs w:val="21"/>
              </w:rPr>
              <w:t>由15m高排气筒（DA001</w:t>
            </w:r>
            <w:r>
              <w:rPr>
                <w:rFonts w:hint="eastAsia"/>
                <w:szCs w:val="21"/>
                <w:lang w:eastAsia="zh-CN"/>
              </w:rPr>
              <w:t>、</w:t>
            </w:r>
            <w:r>
              <w:rPr>
                <w:rFonts w:hint="eastAsia"/>
                <w:szCs w:val="21"/>
                <w:lang w:val="en-US" w:eastAsia="zh-CN"/>
              </w:rPr>
              <w:t>DA002</w:t>
            </w:r>
            <w:r>
              <w:rPr>
                <w:rFonts w:hint="eastAsia"/>
                <w:szCs w:val="21"/>
              </w:rPr>
              <w:t>）排放</w:t>
            </w:r>
            <w:r>
              <w:rPr>
                <w:rFonts w:hint="eastAsia"/>
                <w:szCs w:val="21"/>
                <w:lang w:eastAsia="zh-CN"/>
              </w:rPr>
              <w:t>；</w:t>
            </w:r>
            <w:r>
              <w:rPr>
                <w:rFonts w:hint="eastAsia"/>
                <w:szCs w:val="21"/>
              </w:rPr>
              <w:t>装卸、输送废气：通过设置临时围挡，减小装卸高度，输送过程采用全封闭输送带等措施减少粉尘的无组织逸散</w:t>
            </w:r>
            <w:r>
              <w:rPr>
                <w:rFonts w:hint="eastAsia"/>
                <w:szCs w:val="21"/>
                <w:lang w:eastAsia="zh-CN"/>
              </w:rPr>
              <w:t>；</w:t>
            </w:r>
            <w:r>
              <w:rPr>
                <w:rFonts w:hint="eastAsia"/>
                <w:szCs w:val="21"/>
              </w:rPr>
              <w:t>筛选工段废气：选用密闭性良好的设备，将易产生粉尘的环节管道接口全封闭，并通过自带的沙克龙除尘器进行收集后排放</w:t>
            </w:r>
            <w:r>
              <w:rPr>
                <w:rFonts w:hint="eastAsia"/>
                <w:szCs w:val="21"/>
                <w:lang w:eastAsia="zh-CN"/>
              </w:rPr>
              <w:t>；</w:t>
            </w:r>
            <w:r>
              <w:rPr>
                <w:rFonts w:hint="eastAsia"/>
                <w:szCs w:val="21"/>
              </w:rPr>
              <w:t>烘干工段废气：通过塔顶自带袋式除尘器除尘后通过塔顶排潮口排放。</w:t>
            </w:r>
          </w:p>
          <w:p w14:paraId="3E3D97B8">
            <w:pPr>
              <w:rPr>
                <w:color w:val="000000"/>
                <w:szCs w:val="21"/>
              </w:rPr>
            </w:pPr>
            <w:r>
              <w:rPr>
                <w:rFonts w:hint="eastAsia"/>
                <w:color w:val="000000"/>
                <w:szCs w:val="21"/>
              </w:rPr>
              <w:t>3、</w:t>
            </w:r>
            <w:bookmarkStart w:id="2" w:name="OLE_LINK3"/>
            <w:r>
              <w:rPr>
                <w:rFonts w:hint="eastAsia"/>
                <w:color w:val="000000"/>
                <w:szCs w:val="21"/>
              </w:rPr>
              <w:t>噪声污染防治措施</w:t>
            </w:r>
            <w:bookmarkEnd w:id="2"/>
          </w:p>
          <w:p w14:paraId="54103724">
            <w:pPr>
              <w:rPr>
                <w:color w:val="000000"/>
                <w:szCs w:val="21"/>
              </w:rPr>
            </w:pPr>
            <w:r>
              <w:rPr>
                <w:rFonts w:hint="eastAsia" w:ascii="Times New Roman" w:hAnsi="Times New Roman" w:eastAsia="宋体" w:cs="Times New Roman"/>
              </w:rPr>
              <w:t>选用低噪声设备，</w:t>
            </w:r>
            <w:r>
              <w:rPr>
                <w:rFonts w:hint="eastAsia"/>
                <w:color w:val="000000"/>
                <w:szCs w:val="21"/>
              </w:rPr>
              <w:t>基础减震</w:t>
            </w:r>
            <w:r>
              <w:rPr>
                <w:rFonts w:hint="eastAsia"/>
                <w:color w:val="000000"/>
                <w:szCs w:val="21"/>
                <w:lang w:eastAsia="zh-CN"/>
              </w:rPr>
              <w:t>，</w:t>
            </w:r>
            <w:r>
              <w:rPr>
                <w:rFonts w:hint="eastAsia" w:ascii="Times New Roman" w:hAnsi="Times New Roman" w:eastAsia="宋体" w:cs="Times New Roman"/>
              </w:rPr>
              <w:t>控制车速、禁鸣、距离衰减等</w:t>
            </w:r>
            <w:r>
              <w:rPr>
                <w:rFonts w:hint="eastAsia"/>
                <w:color w:val="000000"/>
                <w:szCs w:val="21"/>
              </w:rPr>
              <w:t>。</w:t>
            </w:r>
          </w:p>
          <w:p w14:paraId="26352D42">
            <w:pPr>
              <w:rPr>
                <w:color w:val="000000"/>
                <w:szCs w:val="21"/>
              </w:rPr>
            </w:pPr>
            <w:r>
              <w:rPr>
                <w:rFonts w:hint="eastAsia"/>
                <w:color w:val="000000"/>
                <w:szCs w:val="21"/>
              </w:rPr>
              <w:t>4、固体废物污染防治措施</w:t>
            </w:r>
          </w:p>
          <w:p w14:paraId="7141997E">
            <w:pPr>
              <w:rPr>
                <w:rFonts w:hint="eastAsia" w:eastAsiaTheme="minorEastAsia"/>
                <w:color w:val="000000"/>
                <w:szCs w:val="21"/>
                <w:lang w:eastAsia="zh-CN"/>
              </w:rPr>
            </w:pPr>
            <w:r>
              <w:rPr>
                <w:rFonts w:hint="eastAsia" w:ascii="宋体" w:hAnsi="宋体" w:cs="宋体"/>
                <w:szCs w:val="21"/>
              </w:rPr>
              <w:t>项目运营期产生的生活垃圾、粮食筛下物集中收集至厂区垃圾箱后，由当地环卫部门定期清运</w:t>
            </w:r>
            <w:r>
              <w:rPr>
                <w:rFonts w:hint="eastAsia" w:ascii="宋体" w:hAnsi="宋体" w:cs="宋体"/>
                <w:szCs w:val="21"/>
                <w:lang w:eastAsia="zh-CN"/>
              </w:rPr>
              <w:t>；</w:t>
            </w:r>
            <w:r>
              <w:rPr>
                <w:rFonts w:hint="eastAsia" w:ascii="宋体" w:hAnsi="宋体" w:cs="宋体"/>
                <w:szCs w:val="21"/>
              </w:rPr>
              <w:t>沙克龙除尘器收集粉尘和烘干塔收集粉尘袋装收集后暂存于库房，定期外售作饲料</w:t>
            </w:r>
            <w:r>
              <w:rPr>
                <w:rFonts w:hint="eastAsia" w:ascii="宋体" w:hAnsi="宋体" w:cs="宋体"/>
                <w:szCs w:val="21"/>
                <w:lang w:eastAsia="zh-CN"/>
              </w:rPr>
              <w:t>；</w:t>
            </w:r>
            <w:r>
              <w:rPr>
                <w:rFonts w:hint="eastAsia" w:ascii="宋体" w:hAnsi="宋体" w:cs="宋体"/>
                <w:szCs w:val="21"/>
              </w:rPr>
              <w:t>废布袋不在厂区贮存，由厂家更换后直接回收利用。</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466B">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p>
        </w:tc>
      </w:tr>
      <w:bookmarkEnd w:id="1"/>
    </w:tbl>
    <w:p w14:paraId="0931CD24">
      <w:pPr>
        <w:pStyle w:val="12"/>
        <w:shd w:val="clear" w:color="auto" w:fill="FFFFFF"/>
        <w:spacing w:before="0" w:beforeAutospacing="0" w:after="0" w:afterAutospacing="0" w:line="420" w:lineRule="atLeast"/>
        <w:rPr>
          <w:rFonts w:ascii="Times New Roman" w:hAnsi="Times New Roman" w:cs="Times New Roman"/>
          <w:color w:val="333333"/>
          <w:sz w:val="21"/>
          <w:szCs w:val="21"/>
        </w:rPr>
      </w:pP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Y0MGQ0NzhkZTY1NTAwZGQyMjljNDk3MTkxMTIwYTMifQ=="/>
    <w:docVar w:name="KSO_WPS_MARK_KEY" w:val="29697520-b35d-40ac-9cc0-c9a84a892c6b"/>
  </w:docVars>
  <w:rsids>
    <w:rsidRoot w:val="000C1E40"/>
    <w:rsid w:val="0000178C"/>
    <w:rsid w:val="00002003"/>
    <w:rsid w:val="00046875"/>
    <w:rsid w:val="00051DBC"/>
    <w:rsid w:val="00061E12"/>
    <w:rsid w:val="00084BB2"/>
    <w:rsid w:val="00085479"/>
    <w:rsid w:val="000913D1"/>
    <w:rsid w:val="0009303D"/>
    <w:rsid w:val="000A26B7"/>
    <w:rsid w:val="000A2A55"/>
    <w:rsid w:val="000C0745"/>
    <w:rsid w:val="000C1E40"/>
    <w:rsid w:val="000C2525"/>
    <w:rsid w:val="000D3C0A"/>
    <w:rsid w:val="000D7585"/>
    <w:rsid w:val="000E3704"/>
    <w:rsid w:val="000E7163"/>
    <w:rsid w:val="000F1306"/>
    <w:rsid w:val="000F47E9"/>
    <w:rsid w:val="00106879"/>
    <w:rsid w:val="00116DDB"/>
    <w:rsid w:val="00122760"/>
    <w:rsid w:val="0013128E"/>
    <w:rsid w:val="00142068"/>
    <w:rsid w:val="001464DB"/>
    <w:rsid w:val="00147C33"/>
    <w:rsid w:val="0015662E"/>
    <w:rsid w:val="001613AA"/>
    <w:rsid w:val="00185613"/>
    <w:rsid w:val="001A3E00"/>
    <w:rsid w:val="001B02AF"/>
    <w:rsid w:val="001C0303"/>
    <w:rsid w:val="001F2A20"/>
    <w:rsid w:val="001F688E"/>
    <w:rsid w:val="00232FC5"/>
    <w:rsid w:val="00233DF0"/>
    <w:rsid w:val="002375C6"/>
    <w:rsid w:val="002376C5"/>
    <w:rsid w:val="00243BB6"/>
    <w:rsid w:val="002606AE"/>
    <w:rsid w:val="00260E60"/>
    <w:rsid w:val="0027305C"/>
    <w:rsid w:val="00275CE4"/>
    <w:rsid w:val="00277EF3"/>
    <w:rsid w:val="002A453A"/>
    <w:rsid w:val="002B091F"/>
    <w:rsid w:val="002B3222"/>
    <w:rsid w:val="002C0E2D"/>
    <w:rsid w:val="002C2E6A"/>
    <w:rsid w:val="00303389"/>
    <w:rsid w:val="00311B87"/>
    <w:rsid w:val="003120DD"/>
    <w:rsid w:val="003126E8"/>
    <w:rsid w:val="0032229F"/>
    <w:rsid w:val="00330E02"/>
    <w:rsid w:val="003546C9"/>
    <w:rsid w:val="00354DAF"/>
    <w:rsid w:val="0037698B"/>
    <w:rsid w:val="00381D36"/>
    <w:rsid w:val="0038670C"/>
    <w:rsid w:val="003916C1"/>
    <w:rsid w:val="003A23D4"/>
    <w:rsid w:val="003C1186"/>
    <w:rsid w:val="003D6121"/>
    <w:rsid w:val="003E7D82"/>
    <w:rsid w:val="004066BF"/>
    <w:rsid w:val="004137B0"/>
    <w:rsid w:val="00414F13"/>
    <w:rsid w:val="00433F40"/>
    <w:rsid w:val="004447B6"/>
    <w:rsid w:val="0046208F"/>
    <w:rsid w:val="00471CD8"/>
    <w:rsid w:val="004843AC"/>
    <w:rsid w:val="004854B4"/>
    <w:rsid w:val="00494E1D"/>
    <w:rsid w:val="004A7551"/>
    <w:rsid w:val="004C38B0"/>
    <w:rsid w:val="004D016A"/>
    <w:rsid w:val="004D6F27"/>
    <w:rsid w:val="004F1A4F"/>
    <w:rsid w:val="004F29E3"/>
    <w:rsid w:val="004F40A1"/>
    <w:rsid w:val="004F4628"/>
    <w:rsid w:val="004F509F"/>
    <w:rsid w:val="005018CF"/>
    <w:rsid w:val="00503BAF"/>
    <w:rsid w:val="005057B4"/>
    <w:rsid w:val="00507D71"/>
    <w:rsid w:val="00533E2A"/>
    <w:rsid w:val="0053689D"/>
    <w:rsid w:val="005418EE"/>
    <w:rsid w:val="00542F9E"/>
    <w:rsid w:val="00543710"/>
    <w:rsid w:val="00555355"/>
    <w:rsid w:val="00561EF2"/>
    <w:rsid w:val="0057106D"/>
    <w:rsid w:val="00580402"/>
    <w:rsid w:val="00583AC5"/>
    <w:rsid w:val="00587B9F"/>
    <w:rsid w:val="005971BA"/>
    <w:rsid w:val="005A6728"/>
    <w:rsid w:val="005D512A"/>
    <w:rsid w:val="005D5155"/>
    <w:rsid w:val="005E5112"/>
    <w:rsid w:val="00607D8D"/>
    <w:rsid w:val="00612C4B"/>
    <w:rsid w:val="00622700"/>
    <w:rsid w:val="00626113"/>
    <w:rsid w:val="00631C84"/>
    <w:rsid w:val="006342CE"/>
    <w:rsid w:val="00643473"/>
    <w:rsid w:val="00643646"/>
    <w:rsid w:val="00647AA5"/>
    <w:rsid w:val="00653FE8"/>
    <w:rsid w:val="00656A9E"/>
    <w:rsid w:val="00673E14"/>
    <w:rsid w:val="00684A97"/>
    <w:rsid w:val="00687212"/>
    <w:rsid w:val="00694019"/>
    <w:rsid w:val="006A3014"/>
    <w:rsid w:val="006A6BC4"/>
    <w:rsid w:val="006C085F"/>
    <w:rsid w:val="00700FA6"/>
    <w:rsid w:val="0070243B"/>
    <w:rsid w:val="00706820"/>
    <w:rsid w:val="007140BB"/>
    <w:rsid w:val="007248B6"/>
    <w:rsid w:val="00726846"/>
    <w:rsid w:val="00740BD1"/>
    <w:rsid w:val="00780DCD"/>
    <w:rsid w:val="007828C0"/>
    <w:rsid w:val="007921C3"/>
    <w:rsid w:val="00792848"/>
    <w:rsid w:val="00793247"/>
    <w:rsid w:val="00794B00"/>
    <w:rsid w:val="007B7CAF"/>
    <w:rsid w:val="007C0576"/>
    <w:rsid w:val="007D6B0A"/>
    <w:rsid w:val="007E2A96"/>
    <w:rsid w:val="0080163C"/>
    <w:rsid w:val="008100CA"/>
    <w:rsid w:val="008125A3"/>
    <w:rsid w:val="00826F74"/>
    <w:rsid w:val="008366BA"/>
    <w:rsid w:val="008409CC"/>
    <w:rsid w:val="00842B13"/>
    <w:rsid w:val="00855571"/>
    <w:rsid w:val="00863CB6"/>
    <w:rsid w:val="00880E77"/>
    <w:rsid w:val="00885BA9"/>
    <w:rsid w:val="00892C5E"/>
    <w:rsid w:val="00897743"/>
    <w:rsid w:val="008B7840"/>
    <w:rsid w:val="008D0837"/>
    <w:rsid w:val="008E3C81"/>
    <w:rsid w:val="008F5E1B"/>
    <w:rsid w:val="00902613"/>
    <w:rsid w:val="0091406B"/>
    <w:rsid w:val="00920FAE"/>
    <w:rsid w:val="009274C9"/>
    <w:rsid w:val="00936C10"/>
    <w:rsid w:val="00946678"/>
    <w:rsid w:val="00970164"/>
    <w:rsid w:val="009771CD"/>
    <w:rsid w:val="00991657"/>
    <w:rsid w:val="0099187B"/>
    <w:rsid w:val="00997FFD"/>
    <w:rsid w:val="009B7016"/>
    <w:rsid w:val="009C3CC0"/>
    <w:rsid w:val="009C4F03"/>
    <w:rsid w:val="009E65D6"/>
    <w:rsid w:val="009F07E3"/>
    <w:rsid w:val="009F5D48"/>
    <w:rsid w:val="00A02C58"/>
    <w:rsid w:val="00A156BD"/>
    <w:rsid w:val="00A23C6D"/>
    <w:rsid w:val="00A35CFC"/>
    <w:rsid w:val="00A37707"/>
    <w:rsid w:val="00A37D66"/>
    <w:rsid w:val="00A429D4"/>
    <w:rsid w:val="00A43839"/>
    <w:rsid w:val="00A7297F"/>
    <w:rsid w:val="00A844E4"/>
    <w:rsid w:val="00AA5F4B"/>
    <w:rsid w:val="00AB2C5F"/>
    <w:rsid w:val="00AD7817"/>
    <w:rsid w:val="00AF0AFA"/>
    <w:rsid w:val="00AF2406"/>
    <w:rsid w:val="00B118CF"/>
    <w:rsid w:val="00B478EF"/>
    <w:rsid w:val="00B47A56"/>
    <w:rsid w:val="00B71E48"/>
    <w:rsid w:val="00B737B2"/>
    <w:rsid w:val="00B74278"/>
    <w:rsid w:val="00B77C51"/>
    <w:rsid w:val="00B850DA"/>
    <w:rsid w:val="00B86D3D"/>
    <w:rsid w:val="00B979C6"/>
    <w:rsid w:val="00BA3DCA"/>
    <w:rsid w:val="00BB1BCE"/>
    <w:rsid w:val="00BB484F"/>
    <w:rsid w:val="00BE1BB4"/>
    <w:rsid w:val="00BF14FE"/>
    <w:rsid w:val="00C020C4"/>
    <w:rsid w:val="00C03C8F"/>
    <w:rsid w:val="00C072B5"/>
    <w:rsid w:val="00C155F6"/>
    <w:rsid w:val="00C32DD5"/>
    <w:rsid w:val="00C33F60"/>
    <w:rsid w:val="00C42815"/>
    <w:rsid w:val="00C55167"/>
    <w:rsid w:val="00C56407"/>
    <w:rsid w:val="00C72E0D"/>
    <w:rsid w:val="00C734B5"/>
    <w:rsid w:val="00C82C50"/>
    <w:rsid w:val="00C8704C"/>
    <w:rsid w:val="00C94389"/>
    <w:rsid w:val="00C95B8B"/>
    <w:rsid w:val="00CA2A26"/>
    <w:rsid w:val="00CA3162"/>
    <w:rsid w:val="00CA4A78"/>
    <w:rsid w:val="00CB357C"/>
    <w:rsid w:val="00CC0824"/>
    <w:rsid w:val="00CD1B75"/>
    <w:rsid w:val="00CE7518"/>
    <w:rsid w:val="00D05198"/>
    <w:rsid w:val="00D24302"/>
    <w:rsid w:val="00D269FF"/>
    <w:rsid w:val="00D35055"/>
    <w:rsid w:val="00D3611E"/>
    <w:rsid w:val="00D4491B"/>
    <w:rsid w:val="00D571ED"/>
    <w:rsid w:val="00D75AF6"/>
    <w:rsid w:val="00D90A62"/>
    <w:rsid w:val="00D968A4"/>
    <w:rsid w:val="00DA0085"/>
    <w:rsid w:val="00DA4188"/>
    <w:rsid w:val="00DA4769"/>
    <w:rsid w:val="00DA6264"/>
    <w:rsid w:val="00DB0F3F"/>
    <w:rsid w:val="00DB0FA7"/>
    <w:rsid w:val="00DC1090"/>
    <w:rsid w:val="00DC3645"/>
    <w:rsid w:val="00DC3888"/>
    <w:rsid w:val="00DD4499"/>
    <w:rsid w:val="00DD4AAC"/>
    <w:rsid w:val="00DE3D34"/>
    <w:rsid w:val="00DE5213"/>
    <w:rsid w:val="00DE5702"/>
    <w:rsid w:val="00DF01ED"/>
    <w:rsid w:val="00DF4553"/>
    <w:rsid w:val="00E02FC4"/>
    <w:rsid w:val="00E31E21"/>
    <w:rsid w:val="00E50104"/>
    <w:rsid w:val="00E5012C"/>
    <w:rsid w:val="00E5313B"/>
    <w:rsid w:val="00E639E9"/>
    <w:rsid w:val="00E647F1"/>
    <w:rsid w:val="00E6514D"/>
    <w:rsid w:val="00E825A7"/>
    <w:rsid w:val="00E862A5"/>
    <w:rsid w:val="00E964A5"/>
    <w:rsid w:val="00EA21C1"/>
    <w:rsid w:val="00ED030C"/>
    <w:rsid w:val="00ED41FA"/>
    <w:rsid w:val="00EE49CB"/>
    <w:rsid w:val="00F03E34"/>
    <w:rsid w:val="00F17CD8"/>
    <w:rsid w:val="00F21D4C"/>
    <w:rsid w:val="00F3267B"/>
    <w:rsid w:val="00F3539A"/>
    <w:rsid w:val="00F440C0"/>
    <w:rsid w:val="00F46C9D"/>
    <w:rsid w:val="00F57689"/>
    <w:rsid w:val="00F60203"/>
    <w:rsid w:val="00F63E95"/>
    <w:rsid w:val="00F66927"/>
    <w:rsid w:val="00F74FCD"/>
    <w:rsid w:val="00F830D7"/>
    <w:rsid w:val="00F857BA"/>
    <w:rsid w:val="00F866F9"/>
    <w:rsid w:val="00F8760B"/>
    <w:rsid w:val="00F97905"/>
    <w:rsid w:val="00FA3F8B"/>
    <w:rsid w:val="00FA7640"/>
    <w:rsid w:val="00FB1E2B"/>
    <w:rsid w:val="00FB750E"/>
    <w:rsid w:val="00FC7958"/>
    <w:rsid w:val="00FD0040"/>
    <w:rsid w:val="00FD23A9"/>
    <w:rsid w:val="00FD5E5D"/>
    <w:rsid w:val="00FD6778"/>
    <w:rsid w:val="00FD6C96"/>
    <w:rsid w:val="015679D0"/>
    <w:rsid w:val="02397D9B"/>
    <w:rsid w:val="027C0AF3"/>
    <w:rsid w:val="066D0FB5"/>
    <w:rsid w:val="07794418"/>
    <w:rsid w:val="08670714"/>
    <w:rsid w:val="0BBC0D77"/>
    <w:rsid w:val="0C965A09"/>
    <w:rsid w:val="0CD23C0D"/>
    <w:rsid w:val="0E796568"/>
    <w:rsid w:val="135B0E75"/>
    <w:rsid w:val="136441CE"/>
    <w:rsid w:val="14730634"/>
    <w:rsid w:val="14D06153"/>
    <w:rsid w:val="1728739A"/>
    <w:rsid w:val="17606DE5"/>
    <w:rsid w:val="17AC1CA0"/>
    <w:rsid w:val="1F832C29"/>
    <w:rsid w:val="2572277A"/>
    <w:rsid w:val="29D94C15"/>
    <w:rsid w:val="2B1673AF"/>
    <w:rsid w:val="2C02237E"/>
    <w:rsid w:val="2CD72E09"/>
    <w:rsid w:val="2E070155"/>
    <w:rsid w:val="2EC456C9"/>
    <w:rsid w:val="306C6050"/>
    <w:rsid w:val="3437693D"/>
    <w:rsid w:val="36D2019E"/>
    <w:rsid w:val="3747333B"/>
    <w:rsid w:val="379876F3"/>
    <w:rsid w:val="38B92017"/>
    <w:rsid w:val="3C396779"/>
    <w:rsid w:val="3DCB2BE5"/>
    <w:rsid w:val="3DD516A1"/>
    <w:rsid w:val="43F72273"/>
    <w:rsid w:val="468974CC"/>
    <w:rsid w:val="47B70069"/>
    <w:rsid w:val="4C883D82"/>
    <w:rsid w:val="4E524648"/>
    <w:rsid w:val="4EFB083B"/>
    <w:rsid w:val="50270E47"/>
    <w:rsid w:val="5239458A"/>
    <w:rsid w:val="54E413A6"/>
    <w:rsid w:val="585F3F16"/>
    <w:rsid w:val="59A062F0"/>
    <w:rsid w:val="5BFD1122"/>
    <w:rsid w:val="60DD2497"/>
    <w:rsid w:val="6135490B"/>
    <w:rsid w:val="63E267B3"/>
    <w:rsid w:val="640F6E0B"/>
    <w:rsid w:val="68F62348"/>
    <w:rsid w:val="6D7C1C84"/>
    <w:rsid w:val="6DD67C11"/>
    <w:rsid w:val="6F72024E"/>
    <w:rsid w:val="7047716A"/>
    <w:rsid w:val="70981F36"/>
    <w:rsid w:val="711041C2"/>
    <w:rsid w:val="7185070D"/>
    <w:rsid w:val="71DB657E"/>
    <w:rsid w:val="72A03570"/>
    <w:rsid w:val="72D57472"/>
    <w:rsid w:val="72FA24A4"/>
    <w:rsid w:val="73DE5EB2"/>
    <w:rsid w:val="75D8762F"/>
    <w:rsid w:val="77862097"/>
    <w:rsid w:val="78DF32BA"/>
    <w:rsid w:val="794744F9"/>
    <w:rsid w:val="7C2E19A1"/>
    <w:rsid w:val="7CDE5175"/>
    <w:rsid w:val="7E6B6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semiHidden/>
    <w:unhideWhenUsed/>
    <w:qFormat/>
    <w:uiPriority w:val="99"/>
    <w:rPr>
      <w:sz w:val="18"/>
      <w:szCs w:val="18"/>
    </w:rPr>
  </w:style>
  <w:style w:type="paragraph" w:styleId="3">
    <w:name w:val="footer"/>
    <w:basedOn w:val="1"/>
    <w:link w:val="15"/>
    <w:unhideWhenUsed/>
    <w:qFormat/>
    <w:uiPriority w:val="99"/>
    <w:pPr>
      <w:tabs>
        <w:tab w:val="center" w:pos="4153"/>
        <w:tab w:val="right" w:pos="8306"/>
      </w:tabs>
      <w:snapToGrid w:val="0"/>
      <w:jc w:val="left"/>
    </w:pPr>
    <w:rPr>
      <w:sz w:val="18"/>
      <w:szCs w:val="18"/>
    </w:rPr>
  </w:style>
  <w:style w:type="paragraph" w:styleId="4">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0"/>
    <w:rPr>
      <w:rFonts w:ascii="Times New Roman" w:hAnsi="Times New Roman"/>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rPr>
  </w:style>
  <w:style w:type="paragraph" w:customStyle="1" w:styleId="10">
    <w:name w:val="表格"/>
    <w:basedOn w:val="11"/>
    <w:next w:val="1"/>
    <w:unhideWhenUsed/>
    <w:qFormat/>
    <w:uiPriority w:val="1"/>
    <w:pPr>
      <w:jc w:val="center"/>
    </w:pPr>
    <w:rPr>
      <w:rFonts w:ascii="Times New Roman" w:eastAsia="宋体" w:cs="宋体"/>
      <w:snapToGrid w:val="0"/>
    </w:rPr>
  </w:style>
  <w:style w:type="paragraph" w:customStyle="1" w:styleId="11">
    <w:name w:val="表格格式"/>
    <w:basedOn w:val="1"/>
    <w:qFormat/>
    <w:uiPriority w:val="99"/>
    <w:rPr>
      <w:rFonts w:ascii="仿宋_GB2312" w:hAnsi="Times New Roman" w:eastAsia="仿宋_GB2312"/>
      <w:bCs/>
      <w:color w:val="000000"/>
      <w:szCs w:val="21"/>
    </w:rPr>
  </w:style>
  <w:style w:type="paragraph" w:customStyle="1" w:styleId="12">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批注框文本 Char"/>
    <w:basedOn w:val="8"/>
    <w:link w:val="2"/>
    <w:semiHidden/>
    <w:qFormat/>
    <w:uiPriority w:val="99"/>
    <w:rPr>
      <w:sz w:val="18"/>
      <w:szCs w:val="18"/>
    </w:rPr>
  </w:style>
  <w:style w:type="character" w:customStyle="1" w:styleId="14">
    <w:name w:val="页眉 Char"/>
    <w:basedOn w:val="8"/>
    <w:link w:val="4"/>
    <w:qFormat/>
    <w:uiPriority w:val="99"/>
    <w:rPr>
      <w:sz w:val="18"/>
      <w:szCs w:val="18"/>
    </w:rPr>
  </w:style>
  <w:style w:type="character" w:customStyle="1" w:styleId="15">
    <w:name w:val="页脚 Char"/>
    <w:basedOn w:val="8"/>
    <w:link w:val="3"/>
    <w:qFormat/>
    <w:uiPriority w:val="99"/>
    <w:rPr>
      <w:sz w:val="18"/>
      <w:szCs w:val="18"/>
    </w:rPr>
  </w:style>
  <w:style w:type="paragraph" w:styleId="16">
    <w:name w:val="List Paragraph"/>
    <w:basedOn w:val="1"/>
    <w:qFormat/>
    <w:uiPriority w:val="34"/>
    <w:pPr>
      <w:spacing w:before="186"/>
      <w:ind w:left="2557" w:hanging="853"/>
    </w:pPr>
    <w:rPr>
      <w:rFonts w:ascii="宋体" w:hAnsi="宋体" w:eastAsia="宋体" w:cs="宋体"/>
      <w:szCs w:val="24"/>
      <w:lang w:val="zh-CN" w:bidi="zh-CN"/>
    </w:rPr>
  </w:style>
  <w:style w:type="character" w:customStyle="1" w:styleId="17">
    <w:name w:val="font41"/>
    <w:basedOn w:val="8"/>
    <w:qFormat/>
    <w:uiPriority w:val="0"/>
    <w:rPr>
      <w:rFonts w:hint="default" w:ascii="Times New Roman" w:hAnsi="Times New Roman" w:cs="Times New Roman"/>
      <w:b/>
      <w:bCs/>
      <w:color w:val="000000"/>
      <w:sz w:val="24"/>
      <w:szCs w:val="24"/>
      <w:u w:val="none"/>
    </w:rPr>
  </w:style>
  <w:style w:type="character" w:customStyle="1" w:styleId="18">
    <w:name w:val="font31"/>
    <w:basedOn w:val="8"/>
    <w:qFormat/>
    <w:uiPriority w:val="0"/>
    <w:rPr>
      <w:rFonts w:hint="eastAsia" w:ascii="宋体" w:hAnsi="宋体" w:eastAsia="宋体" w:cs="宋体"/>
      <w:b/>
      <w:bCs/>
      <w:color w:val="000000"/>
      <w:sz w:val="24"/>
      <w:szCs w:val="24"/>
      <w:u w:val="none"/>
    </w:rPr>
  </w:style>
  <w:style w:type="character" w:customStyle="1" w:styleId="19">
    <w:name w:val="font21"/>
    <w:basedOn w:val="8"/>
    <w:qFormat/>
    <w:uiPriority w:val="0"/>
    <w:rPr>
      <w:rFonts w:hint="default" w:ascii="Times New Roman" w:hAnsi="Times New Roman" w:cs="Times New Roman"/>
      <w:color w:val="000000"/>
      <w:sz w:val="24"/>
      <w:szCs w:val="24"/>
      <w:u w:val="none"/>
    </w:rPr>
  </w:style>
  <w:style w:type="character" w:customStyle="1" w:styleId="20">
    <w:name w:val="font51"/>
    <w:basedOn w:val="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1</Pages>
  <Words>1025</Words>
  <Characters>1121</Characters>
  <Lines>6</Lines>
  <Paragraphs>1</Paragraphs>
  <TotalTime>14</TotalTime>
  <ScaleCrop>false</ScaleCrop>
  <LinksUpToDate>false</LinksUpToDate>
  <CharactersWithSpaces>1126</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2017-05-03T02:43:00Z</dcterms:created>
  <dc:creator>Scar</dc:creator>
  <cp:lastModifiedBy>然后呢ne</cp:lastModifiedBy>
  <cp:lastPrinted>2017-05-03T03:07:00Z</cp:lastPrinted>
  <dcterms:modified xsi:type="dcterms:W3CDTF">2026-04-01T06:42:24Z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81519F9B9D794AECA45B5DC55421A2F3_12</vt:lpwstr>
  </property>
  <property fmtid="{D5CDD505-2E9C-101B-9397-08002B2CF9AE}" pid="4" name="KSOTemplateDocerSaveRecord">
    <vt:lpwstr>eyJoZGlkIjoiNzllYTBkNjA2MDczZjg3MzI5OWU0Mjc2NzMzNTAyZDAiLCJ1c2VySWQiOiIxMzYzNjk0NiJ9</vt:lpwstr>
  </property>
</Properties>
</file>