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额尔古纳市地方政府性债务情况说明</w:t>
      </w:r>
    </w:p>
    <w:p>
      <w:pPr>
        <w:spacing w:line="600" w:lineRule="exact"/>
        <w:rPr>
          <w:rFonts w:ascii="黑体" w:hAnsi="黑体" w:eastAsia="黑体"/>
          <w:bCs/>
          <w:sz w:val="44"/>
          <w:szCs w:val="44"/>
        </w:rPr>
      </w:pPr>
    </w:p>
    <w:p>
      <w:pPr>
        <w:widowControl/>
        <w:adjustRightInd w:val="0"/>
        <w:spacing w:line="600" w:lineRule="exact"/>
        <w:ind w:firstLine="640" w:firstLineChars="200"/>
        <w:contextualSpacing/>
        <w:rPr>
          <w:rFonts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</w:rPr>
        <w:t>一、202</w:t>
      </w:r>
      <w:r>
        <w:rPr>
          <w:rFonts w:hint="eastAsia" w:ascii="黑体" w:hAnsi="黑体" w:eastAsia="黑体"/>
          <w:kern w:val="0"/>
          <w:sz w:val="32"/>
          <w:szCs w:val="32"/>
          <w:lang w:val="en-US" w:eastAsia="zh-CN"/>
        </w:rPr>
        <w:t>4</w:t>
      </w:r>
      <w:r>
        <w:rPr>
          <w:rFonts w:hint="eastAsia" w:ascii="黑体" w:hAnsi="黑体" w:eastAsia="黑体"/>
          <w:kern w:val="0"/>
          <w:sz w:val="32"/>
          <w:szCs w:val="32"/>
        </w:rPr>
        <w:t>年全市政府债务有关情况</w:t>
      </w:r>
    </w:p>
    <w:p>
      <w:pPr>
        <w:pStyle w:val="2"/>
        <w:spacing w:line="600" w:lineRule="exact"/>
        <w:ind w:left="0" w:leftChars="0" w:firstLine="643" w:firstLineChars="200"/>
        <w:rPr>
          <w:rFonts w:ascii="楷体_GB2312" w:hAnsi="楷体_GB2312" w:eastAsia="楷体_GB2312" w:cs="楷体_GB2312"/>
          <w:kern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kern w:val="0"/>
          <w:sz w:val="32"/>
          <w:szCs w:val="32"/>
        </w:rPr>
        <w:t>（一）全市政府债务限额及余额情况</w:t>
      </w:r>
    </w:p>
    <w:p>
      <w:pPr>
        <w:pStyle w:val="2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年，财政厅初步核定我市政府债务限额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20.74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亿元（含一般债务限额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7.22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亿元、专项债务限额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13.52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亿元）。其中202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年新增政府债务限额</w:t>
      </w:r>
      <w:r>
        <w:rPr>
          <w:rFonts w:hint="eastAsia" w:ascii="仿宋_GB2312" w:hAnsi="黑体" w:eastAsia="仿宋_GB2312"/>
          <w:sz w:val="32"/>
          <w:szCs w:val="32"/>
          <w:lang w:val="en-US" w:eastAsia="zh-CN"/>
        </w:rPr>
        <w:t>7.09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亿元（含一般债务</w:t>
      </w:r>
      <w:r>
        <w:rPr>
          <w:rFonts w:hint="eastAsia" w:ascii="仿宋_GB2312" w:hAnsi="黑体" w:eastAsia="仿宋_GB2312"/>
          <w:sz w:val="32"/>
          <w:szCs w:val="32"/>
          <w:lang w:val="en-US" w:eastAsia="zh-CN"/>
        </w:rPr>
        <w:t>0.37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亿元、专项债务</w:t>
      </w:r>
      <w:r>
        <w:rPr>
          <w:rFonts w:hint="eastAsia" w:ascii="仿宋_GB2312" w:hAnsi="黑体" w:eastAsia="仿宋_GB2312"/>
          <w:sz w:val="32"/>
          <w:szCs w:val="32"/>
          <w:lang w:val="en-US" w:eastAsia="zh-CN"/>
        </w:rPr>
        <w:t>6.72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亿元）。截至12月末，全市政府债务余额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20.58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亿元，其中：一般债务余额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7.08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亿元、专项债务余额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13.5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亿元。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自治区财政厅尚未正式核定我市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2024年末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政府债务限额，上述限额数暂为初步测算结果。</w:t>
      </w:r>
    </w:p>
    <w:p>
      <w:pPr>
        <w:pStyle w:val="2"/>
        <w:spacing w:line="600" w:lineRule="exact"/>
        <w:ind w:left="0" w:leftChars="0" w:firstLine="643" w:firstLineChars="200"/>
        <w:rPr>
          <w:rFonts w:ascii="楷体_GB2312" w:hAnsi="楷体_GB2312" w:eastAsia="楷体_GB2312" w:cs="楷体_GB2312"/>
          <w:b/>
          <w:bCs/>
          <w:kern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kern w:val="0"/>
          <w:sz w:val="32"/>
          <w:szCs w:val="32"/>
        </w:rPr>
        <w:t>（二）新增地方政府债券发行及使用情况</w:t>
      </w:r>
    </w:p>
    <w:p>
      <w:pPr>
        <w:pStyle w:val="2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2024年上级财政转贷我市地方政府债券资金8.51亿元，其中：</w:t>
      </w:r>
    </w:p>
    <w:p>
      <w:pPr>
        <w:pStyle w:val="2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一是新增一般债券0.37亿元，其中：用于额尔古纳市温暖工程项目0.08亿元；用于额尔古纳市东西环路老旧道路改造项目0.03亿元；用于额尔古纳市新建客运站项目0.03亿元，剩余15个项目合计0.23亿元。</w:t>
      </w:r>
    </w:p>
    <w:p>
      <w:pPr>
        <w:pStyle w:val="2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二是新增再融资债券0.99亿元，用于偿还上级财政以前年度转贷我市的2024年到期还本的债券。</w:t>
      </w:r>
    </w:p>
    <w:p>
      <w:pPr>
        <w:pStyle w:val="2"/>
        <w:spacing w:line="600" w:lineRule="exact"/>
        <w:ind w:left="0" w:leftChars="0"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三是新增专项债券7.15亿元，其中：用于偿还隐性债务的置换存量隐性债务再融资专项债券6.4亿元；补充政府性基金财力用于偿还隐性债务的专项债券资金0.29亿元；用于额尔古纳市基础供热工程项目0.45亿元；用于额尔古纳市中蒙医院改造项目0.01亿元。</w:t>
      </w:r>
    </w:p>
    <w:p>
      <w:pPr>
        <w:pStyle w:val="2"/>
        <w:spacing w:line="600" w:lineRule="exact"/>
        <w:ind w:left="0" w:leftChars="0"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截至目前，一般债券实际支出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0.34</w:t>
      </w:r>
      <w:r>
        <w:rPr>
          <w:rFonts w:hint="eastAsia" w:ascii="仿宋_GB2312" w:hAnsi="仿宋_GB2312" w:eastAsia="仿宋_GB2312" w:cs="仿宋_GB2312"/>
          <w:sz w:val="32"/>
          <w:szCs w:val="32"/>
        </w:rPr>
        <w:t>亿元，支出进度为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91.89</w:t>
      </w:r>
      <w:r>
        <w:rPr>
          <w:rFonts w:hint="eastAsia" w:ascii="仿宋_GB2312" w:hAnsi="仿宋_GB2312" w:eastAsia="仿宋_GB2312" w:cs="仿宋_GB2312"/>
          <w:sz w:val="32"/>
          <w:szCs w:val="32"/>
        </w:rPr>
        <w:t>%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；专项债券实际支出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7.15亿元，支出进度为100%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pStyle w:val="2"/>
        <w:spacing w:line="600" w:lineRule="exact"/>
        <w:ind w:left="0" w:leftChars="0" w:firstLine="643" w:firstLineChars="200"/>
        <w:rPr>
          <w:rFonts w:ascii="楷体_GB2312" w:hAnsi="楷体_GB2312" w:eastAsia="楷体_GB2312" w:cs="楷体_GB2312"/>
          <w:b/>
          <w:bCs/>
          <w:kern w:val="0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kern w:val="0"/>
          <w:sz w:val="32"/>
          <w:szCs w:val="32"/>
        </w:rPr>
        <w:t>（三）政府债务偿还情况</w:t>
      </w:r>
    </w:p>
    <w:p>
      <w:pPr>
        <w:pStyle w:val="2"/>
        <w:spacing w:line="600" w:lineRule="exact"/>
        <w:ind w:left="0" w:leftChars="0" w:firstLine="640" w:firstLineChars="200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年，全市及时足额偿还到期债券本金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1.1</w:t>
      </w:r>
      <w:r>
        <w:rPr>
          <w:rFonts w:hint="eastAsia" w:ascii="仿宋_GB2312" w:hAnsi="仿宋_GB2312" w:eastAsia="仿宋_GB2312" w:cs="仿宋_GB2312"/>
          <w:sz w:val="32"/>
          <w:szCs w:val="32"/>
        </w:rPr>
        <w:t>亿元（其中：发行再融资债券偿还0.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99</w:t>
      </w:r>
      <w:r>
        <w:rPr>
          <w:rFonts w:hint="eastAsia" w:ascii="仿宋_GB2312" w:hAnsi="仿宋_GB2312" w:eastAsia="仿宋_GB2312" w:cs="仿宋_GB2312"/>
          <w:sz w:val="32"/>
          <w:szCs w:val="32"/>
        </w:rPr>
        <w:t>亿元、自有资金偿还0.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</w:rPr>
        <w:t>亿元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），</w:t>
      </w:r>
      <w:r>
        <w:rPr>
          <w:rFonts w:hint="eastAsia" w:ascii="仿宋_GB2312" w:hAnsi="仿宋_GB2312" w:eastAsia="仿宋_GB2312" w:cs="仿宋_GB2312"/>
          <w:sz w:val="32"/>
          <w:szCs w:val="32"/>
        </w:rPr>
        <w:t>利息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0.22</w:t>
      </w:r>
      <w:r>
        <w:rPr>
          <w:rFonts w:hint="eastAsia" w:ascii="仿宋_GB2312" w:hAnsi="仿宋_GB2312" w:eastAsia="仿宋_GB2312" w:cs="仿宋_GB2312"/>
          <w:sz w:val="32"/>
          <w:szCs w:val="32"/>
        </w:rPr>
        <w:t>亿元。这项工作的努力推进，为下一步更多争取债券额度，有效地促进全市地方经济稳健发展打下了坚实基础。</w:t>
      </w:r>
    </w:p>
    <w:p>
      <w:pPr>
        <w:widowControl/>
        <w:adjustRightInd w:val="0"/>
        <w:spacing w:line="600" w:lineRule="exact"/>
        <w:ind w:firstLine="640" w:firstLineChars="200"/>
        <w:contextualSpacing/>
        <w:rPr>
          <w:rFonts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二、</w:t>
      </w:r>
      <w:r>
        <w:rPr>
          <w:rFonts w:hint="eastAsia" w:ascii="黑体" w:hAnsi="黑体" w:eastAsia="黑体" w:cs="黑体"/>
          <w:sz w:val="32"/>
          <w:szCs w:val="32"/>
        </w:rPr>
        <w:t>202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4</w:t>
      </w:r>
      <w:r>
        <w:rPr>
          <w:rFonts w:hint="eastAsia" w:ascii="黑体" w:hAnsi="黑体" w:eastAsia="黑体" w:cs="黑体"/>
          <w:sz w:val="32"/>
          <w:szCs w:val="32"/>
        </w:rPr>
        <w:t>年度举借债务的主要用途及偿债计划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在确保债务总体可控的情况下，继续积极向上争取很多债券额度，实施更多项目，助推全市经济社会发展。政府债券按用途分为一般债券和专项债券，一般债券用于没有收益的公益性事业发展支出，专项债券用于有收益的公益性事业发展支出。根据财政厅有关要求，专项债券可使用的方向共有11个领域，要求各地在上述领域内依规谋划储备项目，同时严格执行财政部和发改委确定的《地方政府专项债券资金投向领域禁止类项目清单》。安排的项目必须符合专项债券风险管理和发行条件，必须是经济社会效益比较明显、群众期盼、早晚要干的政府投资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基础设施和公共服务项目。</w:t>
      </w:r>
    </w:p>
    <w:p>
      <w:pPr>
        <w:spacing w:line="600" w:lineRule="exact"/>
        <w:ind w:firstLine="640" w:firstLineChars="200"/>
      </w:pPr>
      <w:r>
        <w:rPr>
          <w:rFonts w:hint="eastAsia" w:ascii="仿宋_GB2312" w:hAnsi="仿宋_GB2312" w:eastAsia="仿宋_GB2312" w:cs="仿宋_GB2312"/>
          <w:sz w:val="32"/>
          <w:szCs w:val="32"/>
        </w:rPr>
        <w:t>根据各地区财力、债务风险、项目质量等情况，综合评估确定各地区发行额度，使之与各地区政府性基金收入和项目收益相匹配。督促各地区将债券本息足额列入年度预算，从源头防范逾期风险。经测算，202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年全市到期本金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1.94</w:t>
      </w:r>
      <w:r>
        <w:rPr>
          <w:rFonts w:hint="eastAsia" w:ascii="仿宋_GB2312" w:hAnsi="仿宋_GB2312" w:eastAsia="仿宋_GB2312" w:cs="仿宋_GB2312"/>
          <w:sz w:val="32"/>
          <w:szCs w:val="32"/>
        </w:rPr>
        <w:t>亿元，到期利息0.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59</w:t>
      </w:r>
      <w:r>
        <w:rPr>
          <w:rFonts w:hint="eastAsia" w:ascii="仿宋_GB2312" w:hAnsi="仿宋_GB2312" w:eastAsia="仿宋_GB2312" w:cs="仿宋_GB2312"/>
          <w:sz w:val="32"/>
          <w:szCs w:val="32"/>
        </w:rPr>
        <w:t>亿元。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0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0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0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  <w:sz w:val="28"/>
                              <w:szCs w:val="40"/>
                            </w:rPr>
                            <w:t>- 1 -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0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0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0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  <w:sz w:val="28"/>
                        <w:szCs w:val="40"/>
                      </w:rPr>
                      <w:t>- 1 -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MwMzE3MjE5NjdiNDE4MmY0M2QxN2FhMGRjZGNlYzQifQ=="/>
  </w:docVars>
  <w:rsids>
    <w:rsidRoot w:val="19CF375E"/>
    <w:rsid w:val="000D3B5C"/>
    <w:rsid w:val="00357549"/>
    <w:rsid w:val="006D7799"/>
    <w:rsid w:val="00B77EA2"/>
    <w:rsid w:val="00F24A99"/>
    <w:rsid w:val="03415BF8"/>
    <w:rsid w:val="070A4FD0"/>
    <w:rsid w:val="07531CD1"/>
    <w:rsid w:val="08D44EE3"/>
    <w:rsid w:val="0D784A7E"/>
    <w:rsid w:val="10715AD6"/>
    <w:rsid w:val="11AB2115"/>
    <w:rsid w:val="165E611B"/>
    <w:rsid w:val="19CF375E"/>
    <w:rsid w:val="1FC45FDB"/>
    <w:rsid w:val="2DEB1843"/>
    <w:rsid w:val="3E6F05D8"/>
    <w:rsid w:val="3E6F410B"/>
    <w:rsid w:val="45CF74D9"/>
    <w:rsid w:val="46F74870"/>
    <w:rsid w:val="47BB59C5"/>
    <w:rsid w:val="4FA74E27"/>
    <w:rsid w:val="52C3080E"/>
    <w:rsid w:val="55EB09B2"/>
    <w:rsid w:val="57170EC0"/>
    <w:rsid w:val="5A9F9128"/>
    <w:rsid w:val="5DE90458"/>
    <w:rsid w:val="63FF5803"/>
    <w:rsid w:val="66225261"/>
    <w:rsid w:val="677D466F"/>
    <w:rsid w:val="6BFC17D4"/>
    <w:rsid w:val="6C337922"/>
    <w:rsid w:val="6EF7BEED"/>
    <w:rsid w:val="6EFF2B5B"/>
    <w:rsid w:val="6FBFA3E6"/>
    <w:rsid w:val="6FFFB56F"/>
    <w:rsid w:val="736FA43A"/>
    <w:rsid w:val="79EF327C"/>
    <w:rsid w:val="7A3143F1"/>
    <w:rsid w:val="7BFE74EE"/>
    <w:rsid w:val="7D9F6493"/>
    <w:rsid w:val="7FF7023D"/>
    <w:rsid w:val="AF7BCB4F"/>
    <w:rsid w:val="D9FF3523"/>
    <w:rsid w:val="FDFCE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3</Pages>
  <Words>1070</Words>
  <Characters>1196</Characters>
  <Lines>6</Lines>
  <Paragraphs>1</Paragraphs>
  <TotalTime>71</TotalTime>
  <ScaleCrop>false</ScaleCrop>
  <LinksUpToDate>false</LinksUpToDate>
  <CharactersWithSpaces>1196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2021-02-25T17:13:00Z</dcterms:created>
  <dc:creator>Administrator</dc:creator>
  <cp:lastModifiedBy>Administrator</cp:lastModifiedBy>
  <cp:lastPrinted>2021-02-26T17:41:00Z</cp:lastPrinted>
  <dcterms:modified xsi:type="dcterms:W3CDTF">2025-02-10T03:15:52Z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7701BBB7A4914E03A672F88AC45F22C6_13</vt:lpwstr>
  </property>
</Properties>
</file>