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799" w:rsidRDefault="000D3B5C" w:rsidP="00B77EA2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额尔古纳市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地方政府性债务情况说明</w:t>
      </w:r>
    </w:p>
    <w:bookmarkEnd w:id="0"/>
    <w:p w:rsidR="006D7799" w:rsidRDefault="006D7799">
      <w:pPr>
        <w:spacing w:line="600" w:lineRule="exact"/>
        <w:rPr>
          <w:rFonts w:ascii="黑体" w:eastAsia="黑体" w:hAnsi="黑体"/>
          <w:bCs/>
          <w:sz w:val="44"/>
          <w:szCs w:val="44"/>
        </w:rPr>
      </w:pPr>
    </w:p>
    <w:p w:rsidR="006D7799" w:rsidRDefault="000D3B5C">
      <w:pPr>
        <w:widowControl/>
        <w:adjustRightInd w:val="0"/>
        <w:spacing w:line="600" w:lineRule="exact"/>
        <w:ind w:firstLineChars="200" w:firstLine="640"/>
        <w:contextualSpacing/>
        <w:rPr>
          <w:rFonts w:ascii="黑体" w:eastAsia="黑体" w:hAnsi="黑体"/>
          <w:kern w:val="0"/>
          <w:sz w:val="32"/>
          <w:szCs w:val="32"/>
        </w:rPr>
      </w:pPr>
      <w:r>
        <w:rPr>
          <w:rFonts w:ascii="黑体" w:eastAsia="黑体" w:hAnsi="黑体" w:hint="eastAsia"/>
          <w:kern w:val="0"/>
          <w:sz w:val="32"/>
          <w:szCs w:val="32"/>
        </w:rPr>
        <w:t>一、</w:t>
      </w:r>
      <w:r>
        <w:rPr>
          <w:rFonts w:ascii="黑体" w:eastAsia="黑体" w:hAnsi="黑体" w:hint="eastAsia"/>
          <w:kern w:val="0"/>
          <w:sz w:val="32"/>
          <w:szCs w:val="32"/>
        </w:rPr>
        <w:t>202</w:t>
      </w:r>
      <w:r>
        <w:rPr>
          <w:rFonts w:ascii="黑体" w:eastAsia="黑体" w:hAnsi="黑体"/>
          <w:kern w:val="0"/>
          <w:sz w:val="32"/>
          <w:szCs w:val="32"/>
          <w:lang w:val="en"/>
        </w:rPr>
        <w:t>2</w:t>
      </w:r>
      <w:r>
        <w:rPr>
          <w:rFonts w:ascii="黑体" w:eastAsia="黑体" w:hAnsi="黑体" w:hint="eastAsia"/>
          <w:kern w:val="0"/>
          <w:sz w:val="32"/>
          <w:szCs w:val="32"/>
        </w:rPr>
        <w:t>年全市政府债务有关情况</w:t>
      </w:r>
    </w:p>
    <w:p w:rsidR="006D7799" w:rsidRDefault="000D3B5C">
      <w:pPr>
        <w:pStyle w:val="a0"/>
        <w:spacing w:line="600" w:lineRule="exact"/>
        <w:ind w:leftChars="0" w:left="0" w:firstLineChars="200" w:firstLine="643"/>
        <w:rPr>
          <w:rFonts w:ascii="楷体_GB2312" w:eastAsia="楷体_GB2312" w:hAnsi="楷体_GB2312" w:cs="楷体_GB2312"/>
          <w:kern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kern w:val="0"/>
          <w:sz w:val="32"/>
          <w:szCs w:val="32"/>
        </w:rPr>
        <w:t>（一）全市政府</w:t>
      </w:r>
      <w:r>
        <w:rPr>
          <w:rFonts w:ascii="楷体_GB2312" w:eastAsia="楷体_GB2312" w:hAnsi="楷体_GB2312" w:cs="楷体_GB2312" w:hint="eastAsia"/>
          <w:b/>
          <w:bCs/>
          <w:kern w:val="0"/>
          <w:sz w:val="32"/>
          <w:szCs w:val="32"/>
        </w:rPr>
        <w:t>债务限额及余额</w:t>
      </w:r>
      <w:r>
        <w:rPr>
          <w:rFonts w:ascii="楷体_GB2312" w:eastAsia="楷体_GB2312" w:hAnsi="楷体_GB2312" w:cs="楷体_GB2312" w:hint="eastAsia"/>
          <w:b/>
          <w:bCs/>
          <w:kern w:val="0"/>
          <w:sz w:val="32"/>
          <w:szCs w:val="32"/>
        </w:rPr>
        <w:t>情况</w:t>
      </w:r>
    </w:p>
    <w:p w:rsidR="006D7799" w:rsidRDefault="000D3B5C">
      <w:pPr>
        <w:pStyle w:val="a0"/>
        <w:spacing w:line="600" w:lineRule="exact"/>
        <w:ind w:leftChars="0" w:left="0" w:firstLineChars="200" w:firstLine="64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202</w:t>
      </w:r>
      <w:r>
        <w:rPr>
          <w:rFonts w:ascii="仿宋_GB2312" w:eastAsia="仿宋_GB2312" w:hAnsi="仿宋_GB2312" w:cs="仿宋_GB2312"/>
          <w:kern w:val="0"/>
          <w:sz w:val="32"/>
          <w:szCs w:val="32"/>
          <w:lang w:val="en"/>
        </w:rPr>
        <w:t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年，财政厅初步核定我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市政府债务限额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10.84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（含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一般债务限额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6.74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、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专项债务限额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4.10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其中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202</w:t>
      </w:r>
      <w:r>
        <w:rPr>
          <w:rFonts w:ascii="仿宋_GB2312" w:eastAsia="仿宋_GB2312" w:hAnsi="仿宋_GB2312" w:cs="仿宋_GB2312"/>
          <w:kern w:val="0"/>
          <w:sz w:val="32"/>
          <w:szCs w:val="32"/>
          <w:lang w:val="en"/>
        </w:rPr>
        <w:t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新增政府债务限额</w:t>
      </w:r>
      <w:r>
        <w:rPr>
          <w:rFonts w:ascii="仿宋_GB2312" w:eastAsia="仿宋_GB2312" w:hAnsi="黑体" w:hint="eastAsia"/>
          <w:sz w:val="32"/>
          <w:szCs w:val="32"/>
        </w:rPr>
        <w:t>0.04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（含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一般债务</w:t>
      </w:r>
      <w:r>
        <w:rPr>
          <w:rFonts w:ascii="仿宋_GB2312" w:eastAsia="仿宋_GB2312" w:hAnsi="黑体" w:hint="eastAsia"/>
          <w:sz w:val="32"/>
          <w:szCs w:val="32"/>
        </w:rPr>
        <w:t>0.04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、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专项债务</w:t>
      </w:r>
      <w:r>
        <w:rPr>
          <w:rFonts w:ascii="仿宋_GB2312" w:eastAsia="仿宋_GB2312" w:hAnsi="黑体" w:hint="eastAsia"/>
          <w:sz w:val="32"/>
          <w:szCs w:val="32"/>
        </w:rPr>
        <w:t>0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截至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月末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，全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市政府债务余额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10.39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亿元，其中：一般债务余额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6.68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、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专项债务余额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3.71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，总体控制在财政厅核定我市限额内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</w:p>
    <w:p w:rsidR="006D7799" w:rsidRDefault="000D3B5C">
      <w:pPr>
        <w:pStyle w:val="a0"/>
        <w:spacing w:line="600" w:lineRule="exact"/>
        <w:ind w:leftChars="0" w:left="0" w:firstLineChars="200" w:firstLine="643"/>
        <w:rPr>
          <w:rFonts w:ascii="楷体_GB2312" w:eastAsia="楷体_GB2312" w:hAnsi="楷体_GB2312" w:cs="楷体_GB2312"/>
          <w:b/>
          <w:bCs/>
          <w:kern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kern w:val="0"/>
          <w:sz w:val="32"/>
          <w:szCs w:val="32"/>
        </w:rPr>
        <w:t>（二）新增地方政府债券发行及使用情况</w:t>
      </w:r>
    </w:p>
    <w:p w:rsidR="006D7799" w:rsidRDefault="000D3B5C">
      <w:pPr>
        <w:pStyle w:val="a0"/>
        <w:ind w:leftChars="0" w:left="0" w:firstLineChars="200" w:firstLine="640"/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202</w:t>
      </w:r>
      <w:r>
        <w:rPr>
          <w:rFonts w:ascii="仿宋_GB2312" w:eastAsia="仿宋_GB2312" w:hAnsi="仿宋_GB2312" w:cs="仿宋_GB2312"/>
          <w:kern w:val="0"/>
          <w:sz w:val="32"/>
          <w:szCs w:val="32"/>
          <w:lang w:val="en"/>
        </w:rPr>
        <w:t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年自治区代市我市发行新增债券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0.04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亿元，均为一般债券。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主要用于</w:t>
      </w:r>
      <w:r>
        <w:rPr>
          <w:rFonts w:ascii="仿宋_GB2312" w:eastAsia="仿宋_GB2312" w:hAnsi="??" w:hint="eastAsia"/>
          <w:kern w:val="0"/>
          <w:sz w:val="32"/>
        </w:rPr>
        <w:t>“雪亮工程”等重点公益性项目建设，推</w:t>
      </w:r>
      <w:r>
        <w:rPr>
          <w:rFonts w:ascii="仿宋_GB2312" w:eastAsia="仿宋_GB2312" w:hAnsi="??" w:hint="eastAsia"/>
          <w:spacing w:val="-6"/>
          <w:kern w:val="0"/>
          <w:sz w:val="32"/>
        </w:rPr>
        <w:t>动全市</w:t>
      </w:r>
      <w:r>
        <w:rPr>
          <w:rFonts w:ascii="仿宋_GB2312" w:eastAsia="仿宋_GB2312" w:hAnsi="??"/>
          <w:spacing w:val="-6"/>
          <w:kern w:val="0"/>
          <w:sz w:val="32"/>
        </w:rPr>
        <w:t>经济社会</w:t>
      </w:r>
      <w:r>
        <w:rPr>
          <w:rFonts w:ascii="仿宋_GB2312" w:eastAsia="仿宋_GB2312" w:hAnsi="??" w:hint="eastAsia"/>
          <w:spacing w:val="-6"/>
          <w:kern w:val="0"/>
          <w:sz w:val="32"/>
        </w:rPr>
        <w:t>稳定健康</w:t>
      </w:r>
      <w:r>
        <w:rPr>
          <w:rFonts w:ascii="仿宋_GB2312" w:eastAsia="仿宋_GB2312" w:hAnsi="??"/>
          <w:spacing w:val="-6"/>
          <w:kern w:val="0"/>
          <w:sz w:val="32"/>
        </w:rPr>
        <w:t>发</w:t>
      </w:r>
      <w:r>
        <w:rPr>
          <w:rFonts w:ascii="仿宋_GB2312" w:eastAsia="仿宋_GB2312" w:hAnsi="??"/>
          <w:kern w:val="0"/>
          <w:sz w:val="32"/>
        </w:rPr>
        <w:t>展</w:t>
      </w:r>
      <w:r>
        <w:rPr>
          <w:rFonts w:ascii="仿宋_GB2312" w:eastAsia="仿宋_GB2312" w:hAnsi="??" w:hint="eastAsia"/>
          <w:kern w:val="0"/>
          <w:sz w:val="32"/>
        </w:rPr>
        <w:t>。</w:t>
      </w:r>
    </w:p>
    <w:p w:rsidR="006D7799" w:rsidRDefault="000D3B5C">
      <w:pPr>
        <w:pStyle w:val="a0"/>
        <w:spacing w:line="600" w:lineRule="exact"/>
        <w:ind w:leftChars="0" w:left="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截至目前，一般债券实际支出</w:t>
      </w:r>
      <w:r>
        <w:rPr>
          <w:rFonts w:ascii="仿宋_GB2312" w:eastAsia="仿宋_GB2312" w:hAnsi="仿宋_GB2312" w:cs="仿宋_GB2312" w:hint="eastAsia"/>
          <w:sz w:val="32"/>
          <w:szCs w:val="32"/>
        </w:rPr>
        <w:t>0.04</w:t>
      </w:r>
      <w:r>
        <w:rPr>
          <w:rFonts w:ascii="仿宋_GB2312" w:eastAsia="仿宋_GB2312" w:hAnsi="仿宋_GB2312" w:cs="仿宋_GB2312" w:hint="eastAsia"/>
          <w:sz w:val="32"/>
          <w:szCs w:val="32"/>
        </w:rPr>
        <w:t>亿元，支出进度为</w:t>
      </w:r>
      <w:r>
        <w:rPr>
          <w:rFonts w:ascii="仿宋_GB2312" w:eastAsia="仿宋_GB2312" w:hAnsi="仿宋_GB2312" w:cs="仿宋_GB2312" w:hint="eastAsia"/>
          <w:sz w:val="32"/>
          <w:szCs w:val="32"/>
        </w:rPr>
        <w:t>97.64%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6D7799" w:rsidRDefault="000D3B5C">
      <w:pPr>
        <w:pStyle w:val="a0"/>
        <w:spacing w:line="600" w:lineRule="exact"/>
        <w:ind w:leftChars="0" w:left="0" w:firstLineChars="200" w:firstLine="643"/>
        <w:rPr>
          <w:rFonts w:ascii="楷体_GB2312" w:eastAsia="楷体_GB2312" w:hAnsi="楷体_GB2312" w:cs="楷体_GB2312"/>
          <w:b/>
          <w:bCs/>
          <w:kern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kern w:val="0"/>
          <w:sz w:val="32"/>
          <w:szCs w:val="32"/>
        </w:rPr>
        <w:t>（三）政府债务偿还情况</w:t>
      </w:r>
    </w:p>
    <w:p w:rsidR="006D7799" w:rsidRDefault="000D3B5C">
      <w:pPr>
        <w:pStyle w:val="a0"/>
        <w:spacing w:line="600" w:lineRule="exact"/>
        <w:ind w:leftChars="0" w:left="0" w:firstLineChars="200" w:firstLine="640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2022</w:t>
      </w:r>
      <w:r>
        <w:rPr>
          <w:rFonts w:ascii="仿宋_GB2312" w:eastAsia="仿宋_GB2312" w:hAnsi="仿宋_GB2312" w:cs="仿宋_GB2312" w:hint="eastAsia"/>
          <w:sz w:val="32"/>
          <w:szCs w:val="32"/>
        </w:rPr>
        <w:t>年，全市及时足额偿还到期债券本金</w:t>
      </w:r>
      <w:r>
        <w:rPr>
          <w:rFonts w:ascii="仿宋_GB2312" w:eastAsia="仿宋_GB2312" w:hAnsi="仿宋_GB2312" w:cs="仿宋_GB2312" w:hint="eastAsia"/>
          <w:sz w:val="32"/>
          <w:szCs w:val="32"/>
        </w:rPr>
        <w:t>1.19</w:t>
      </w:r>
      <w:r>
        <w:rPr>
          <w:rFonts w:ascii="仿宋_GB2312" w:eastAsia="仿宋_GB2312" w:hAnsi="仿宋_GB2312" w:cs="仿宋_GB2312" w:hint="eastAsia"/>
          <w:sz w:val="32"/>
          <w:szCs w:val="32"/>
        </w:rPr>
        <w:t>亿元（其中：发行再融资债券偿还</w:t>
      </w:r>
      <w:r>
        <w:rPr>
          <w:rFonts w:ascii="仿宋_GB2312" w:eastAsia="仿宋_GB2312" w:hAnsi="仿宋_GB2312" w:cs="仿宋_GB2312" w:hint="eastAsia"/>
          <w:sz w:val="32"/>
          <w:szCs w:val="32"/>
        </w:rPr>
        <w:t>0.89</w:t>
      </w:r>
      <w:r>
        <w:rPr>
          <w:rFonts w:ascii="仿宋_GB2312" w:eastAsia="仿宋_GB2312" w:hAnsi="仿宋_GB2312" w:cs="仿宋_GB2312" w:hint="eastAsia"/>
          <w:sz w:val="32"/>
          <w:szCs w:val="32"/>
        </w:rPr>
        <w:t>亿元、自有资金偿还</w:t>
      </w:r>
      <w:r>
        <w:rPr>
          <w:rFonts w:ascii="仿宋_GB2312" w:eastAsia="仿宋_GB2312" w:hAnsi="仿宋_GB2312" w:cs="仿宋_GB2312" w:hint="eastAsia"/>
          <w:sz w:val="32"/>
          <w:szCs w:val="32"/>
        </w:rPr>
        <w:t>0.30</w:t>
      </w:r>
      <w:r>
        <w:rPr>
          <w:rFonts w:ascii="仿宋_GB2312" w:eastAsia="仿宋_GB2312" w:hAnsi="仿宋_GB2312" w:cs="仿宋_GB2312" w:hint="eastAsia"/>
          <w:sz w:val="32"/>
          <w:szCs w:val="32"/>
        </w:rPr>
        <w:t>亿元），利息</w:t>
      </w:r>
      <w:r>
        <w:rPr>
          <w:rFonts w:ascii="仿宋_GB2312" w:eastAsia="仿宋_GB2312" w:hAnsi="仿宋_GB2312" w:cs="仿宋_GB2312" w:hint="eastAsia"/>
          <w:sz w:val="32"/>
          <w:szCs w:val="32"/>
        </w:rPr>
        <w:t>0.36</w:t>
      </w:r>
      <w:r>
        <w:rPr>
          <w:rFonts w:ascii="仿宋_GB2312" w:eastAsia="仿宋_GB2312" w:hAnsi="仿宋_GB2312" w:cs="仿宋_GB2312" w:hint="eastAsia"/>
          <w:sz w:val="32"/>
          <w:szCs w:val="32"/>
        </w:rPr>
        <w:t>亿元。这项工作的努力推进，为下一步更多争取债券额度，有效地促进全市地方经济稳健发展打下了坚实基础。</w:t>
      </w:r>
    </w:p>
    <w:p w:rsidR="006D7799" w:rsidRDefault="000D3B5C">
      <w:pPr>
        <w:widowControl/>
        <w:adjustRightInd w:val="0"/>
        <w:spacing w:line="600" w:lineRule="exact"/>
        <w:ind w:firstLineChars="200" w:firstLine="640"/>
        <w:contextualSpacing/>
        <w:rPr>
          <w:rFonts w:ascii="黑体" w:eastAsia="黑体" w:hAnsi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二</w:t>
      </w:r>
      <w:r>
        <w:rPr>
          <w:rFonts w:ascii="黑体" w:eastAsia="黑体" w:hAnsi="黑体" w:cs="黑体" w:hint="eastAsia"/>
          <w:kern w:val="0"/>
          <w:sz w:val="32"/>
          <w:szCs w:val="32"/>
        </w:rPr>
        <w:t>、</w:t>
      </w:r>
      <w:r>
        <w:rPr>
          <w:rFonts w:ascii="黑体" w:eastAsia="黑体" w:hAnsi="黑体" w:cs="黑体" w:hint="eastAsia"/>
          <w:sz w:val="32"/>
          <w:szCs w:val="32"/>
        </w:rPr>
        <w:t>2023</w:t>
      </w:r>
      <w:r>
        <w:rPr>
          <w:rFonts w:ascii="黑体" w:eastAsia="黑体" w:hAnsi="黑体" w:cs="黑体" w:hint="eastAsia"/>
          <w:sz w:val="32"/>
          <w:szCs w:val="32"/>
        </w:rPr>
        <w:t>年度举借债务的主要用途及偿债计划</w:t>
      </w:r>
    </w:p>
    <w:p w:rsidR="006D7799" w:rsidRDefault="000D3B5C">
      <w:pPr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在确保债务总体可控的情况下，继续积极向上争取很多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债券额度，实施更多项目，助推全市经济社会发展。政府债券按用途分为一般债券和专项债券，一般债券用于没有收益的公益性事业发展支出，专项债券用于有收益的公益性事业发展支出。根据财政厅有关要求，</w:t>
      </w:r>
      <w:r>
        <w:rPr>
          <w:rFonts w:ascii="仿宋_GB2312" w:eastAsia="仿宋_GB2312" w:hAnsi="仿宋_GB2312" w:cs="仿宋_GB2312" w:hint="eastAsia"/>
          <w:sz w:val="32"/>
          <w:szCs w:val="32"/>
        </w:rPr>
        <w:t>专项债券可使用的方向共有</w:t>
      </w:r>
      <w:r>
        <w:rPr>
          <w:rFonts w:ascii="仿宋_GB2312" w:eastAsia="仿宋_GB2312" w:hAnsi="仿宋_GB2312" w:cs="仿宋_GB2312" w:hint="eastAsia"/>
          <w:sz w:val="32"/>
          <w:szCs w:val="32"/>
        </w:rPr>
        <w:t>11</w:t>
      </w:r>
      <w:r>
        <w:rPr>
          <w:rFonts w:ascii="仿宋_GB2312" w:eastAsia="仿宋_GB2312" w:hAnsi="仿宋_GB2312" w:cs="仿宋_GB2312" w:hint="eastAsia"/>
          <w:sz w:val="32"/>
          <w:szCs w:val="32"/>
        </w:rPr>
        <w:t>个领域，要求各地在上述领域内依规谋划储备项目，同时严格执行财政部和发改委确定的《地方政府专项债券资金投向领域禁止类项目清单》</w:t>
      </w:r>
      <w:r>
        <w:rPr>
          <w:rFonts w:ascii="仿宋_GB2312" w:eastAsia="仿宋_GB2312" w:hAnsi="仿宋_GB2312" w:cs="仿宋_GB2312" w:hint="eastAsia"/>
          <w:sz w:val="32"/>
          <w:szCs w:val="32"/>
        </w:rPr>
        <w:t>。新增专项债券不得用于偿还债务，不得安排土地储备项目、房地产相关项目和产业项目。安排的项目必须符合专项债券风险管理和发行条件，</w:t>
      </w:r>
      <w:r>
        <w:rPr>
          <w:rFonts w:ascii="仿宋_GB2312" w:eastAsia="仿宋_GB2312" w:hAnsi="仿宋_GB2312" w:cs="仿宋_GB2312" w:hint="eastAsia"/>
          <w:sz w:val="32"/>
          <w:szCs w:val="32"/>
        </w:rPr>
        <w:t>必须是经济社会效益比较明显、群众期盼、早晚要干的政府投资项目，必须是有一定收益的基础设施和公共服务项目。</w:t>
      </w:r>
    </w:p>
    <w:p w:rsidR="006D7799" w:rsidRDefault="000D3B5C">
      <w:pPr>
        <w:spacing w:line="600" w:lineRule="exact"/>
        <w:ind w:firstLineChars="200" w:firstLine="640"/>
      </w:pPr>
      <w:r>
        <w:rPr>
          <w:rFonts w:ascii="仿宋_GB2312" w:eastAsia="仿宋_GB2312" w:hAnsi="仿宋_GB2312" w:cs="仿宋_GB2312" w:hint="eastAsia"/>
          <w:sz w:val="32"/>
          <w:szCs w:val="32"/>
        </w:rPr>
        <w:t>根据各地区财力、债务风险、项目质量等情况，综合评估确定各地</w:t>
      </w:r>
      <w:r>
        <w:rPr>
          <w:rFonts w:ascii="仿宋_GB2312" w:eastAsia="仿宋_GB2312" w:hAnsi="仿宋_GB2312" w:cs="仿宋_GB2312" w:hint="eastAsia"/>
          <w:sz w:val="32"/>
          <w:szCs w:val="32"/>
        </w:rPr>
        <w:t>区</w:t>
      </w:r>
      <w:r>
        <w:rPr>
          <w:rFonts w:ascii="仿宋_GB2312" w:eastAsia="仿宋_GB2312" w:hAnsi="仿宋_GB2312" w:cs="仿宋_GB2312" w:hint="eastAsia"/>
          <w:sz w:val="32"/>
          <w:szCs w:val="32"/>
        </w:rPr>
        <w:t>发行额度，使之与各地</w:t>
      </w:r>
      <w:r>
        <w:rPr>
          <w:rFonts w:ascii="仿宋_GB2312" w:eastAsia="仿宋_GB2312" w:hAnsi="仿宋_GB2312" w:cs="仿宋_GB2312" w:hint="eastAsia"/>
          <w:sz w:val="32"/>
          <w:szCs w:val="32"/>
        </w:rPr>
        <w:t>区</w:t>
      </w:r>
      <w:r>
        <w:rPr>
          <w:rFonts w:ascii="仿宋_GB2312" w:eastAsia="仿宋_GB2312" w:hAnsi="仿宋_GB2312" w:cs="仿宋_GB2312" w:hint="eastAsia"/>
          <w:sz w:val="32"/>
          <w:szCs w:val="32"/>
        </w:rPr>
        <w:t>政府性基金收入和项目收益相匹配。督促各地区将债券本息足额列入年度预算，从源头防范逾期风险。</w:t>
      </w:r>
      <w:r>
        <w:rPr>
          <w:rFonts w:ascii="仿宋_GB2312" w:eastAsia="仿宋_GB2312" w:hAnsi="仿宋_GB2312" w:cs="仿宋_GB2312" w:hint="eastAsia"/>
          <w:sz w:val="32"/>
          <w:szCs w:val="32"/>
        </w:rPr>
        <w:t>经测算，</w:t>
      </w:r>
      <w:r>
        <w:rPr>
          <w:rFonts w:ascii="仿宋_GB2312" w:eastAsia="仿宋_GB2312" w:hAnsi="仿宋_GB2312" w:cs="仿宋_GB2312" w:hint="eastAsia"/>
          <w:sz w:val="32"/>
          <w:szCs w:val="32"/>
        </w:rPr>
        <w:t>2023</w:t>
      </w:r>
      <w:r>
        <w:rPr>
          <w:rFonts w:ascii="仿宋_GB2312" w:eastAsia="仿宋_GB2312" w:hAnsi="仿宋_GB2312" w:cs="仿宋_GB2312" w:hint="eastAsia"/>
          <w:sz w:val="32"/>
          <w:szCs w:val="32"/>
        </w:rPr>
        <w:t>年全市到期本金</w:t>
      </w:r>
      <w:r>
        <w:rPr>
          <w:rFonts w:ascii="仿宋_GB2312" w:eastAsia="仿宋_GB2312" w:hAnsi="仿宋_GB2312" w:cs="仿宋_GB2312" w:hint="eastAsia"/>
          <w:sz w:val="32"/>
          <w:szCs w:val="32"/>
        </w:rPr>
        <w:t>0.35</w:t>
      </w:r>
      <w:r>
        <w:rPr>
          <w:rFonts w:ascii="仿宋_GB2312" w:eastAsia="仿宋_GB2312" w:hAnsi="仿宋_GB2312" w:cs="仿宋_GB2312" w:hint="eastAsia"/>
          <w:sz w:val="32"/>
          <w:szCs w:val="32"/>
        </w:rPr>
        <w:t>亿元，到期利息</w:t>
      </w:r>
      <w:r>
        <w:rPr>
          <w:rFonts w:ascii="仿宋_GB2312" w:eastAsia="仿宋_GB2312" w:hAnsi="仿宋_GB2312" w:cs="仿宋_GB2312" w:hint="eastAsia"/>
          <w:sz w:val="32"/>
          <w:szCs w:val="32"/>
        </w:rPr>
        <w:t>0.33</w:t>
      </w:r>
      <w:r>
        <w:rPr>
          <w:rFonts w:ascii="仿宋_GB2312" w:eastAsia="仿宋_GB2312" w:hAnsi="仿宋_GB2312" w:cs="仿宋_GB2312" w:hint="eastAsia"/>
          <w:sz w:val="32"/>
          <w:szCs w:val="32"/>
        </w:rPr>
        <w:t>亿元。</w:t>
      </w:r>
    </w:p>
    <w:sectPr w:rsidR="006D7799">
      <w:footerReference w:type="default" r:id="rId7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B5C" w:rsidRDefault="000D3B5C">
      <w:r>
        <w:separator/>
      </w:r>
    </w:p>
  </w:endnote>
  <w:endnote w:type="continuationSeparator" w:id="0">
    <w:p w:rsidR="000D3B5C" w:rsidRDefault="000D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charset w:val="86"/>
    <w:family w:val="auto"/>
    <w:pitch w:val="default"/>
    <w:sig w:usb0="00000000" w:usb1="00000000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??">
    <w:altName w:val="Segoe Print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799" w:rsidRDefault="000D3B5C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D7799" w:rsidRDefault="000D3B5C">
                          <w:pPr>
                            <w:pStyle w:val="a4"/>
                          </w:pP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B77EA2">
                            <w:rPr>
                              <w:rFonts w:ascii="仿宋_GB2312" w:eastAsia="仿宋_GB2312" w:hAnsi="仿宋_GB2312" w:cs="仿宋_GB2312"/>
                              <w:noProof/>
                              <w:sz w:val="28"/>
                              <w:szCs w:val="40"/>
                            </w:rPr>
                            <w:t>- 1 -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6D7799" w:rsidRDefault="000D3B5C">
                    <w:pPr>
                      <w:pStyle w:val="a4"/>
                    </w:pP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40"/>
                      </w:rPr>
                      <w:fldChar w:fldCharType="begin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40"/>
                      </w:rPr>
                      <w:fldChar w:fldCharType="separate"/>
                    </w:r>
                    <w:r w:rsidR="00B77EA2">
                      <w:rPr>
                        <w:rFonts w:ascii="仿宋_GB2312" w:eastAsia="仿宋_GB2312" w:hAnsi="仿宋_GB2312" w:cs="仿宋_GB2312"/>
                        <w:noProof/>
                        <w:sz w:val="28"/>
                        <w:szCs w:val="40"/>
                      </w:rPr>
                      <w:t>- 1 -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B5C" w:rsidRDefault="000D3B5C">
      <w:r>
        <w:separator/>
      </w:r>
    </w:p>
  </w:footnote>
  <w:footnote w:type="continuationSeparator" w:id="0">
    <w:p w:rsidR="000D3B5C" w:rsidRDefault="000D3B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BkNDEwYjYzNmY5ZjVkNGJkZTMxZjJhZjYwZWU3MDQifQ=="/>
  </w:docVars>
  <w:rsids>
    <w:rsidRoot w:val="19CF375E"/>
    <w:rsid w:val="D9FF3523"/>
    <w:rsid w:val="FDFCEFE1"/>
    <w:rsid w:val="000D3B5C"/>
    <w:rsid w:val="00357549"/>
    <w:rsid w:val="006D7799"/>
    <w:rsid w:val="00B77EA2"/>
    <w:rsid w:val="00F24A99"/>
    <w:rsid w:val="03415BF8"/>
    <w:rsid w:val="070A4FD0"/>
    <w:rsid w:val="10715AD6"/>
    <w:rsid w:val="11AB2115"/>
    <w:rsid w:val="165E611B"/>
    <w:rsid w:val="19CF375E"/>
    <w:rsid w:val="1FC45FDB"/>
    <w:rsid w:val="2DEB1843"/>
    <w:rsid w:val="3E6F05D8"/>
    <w:rsid w:val="45CF74D9"/>
    <w:rsid w:val="46F74870"/>
    <w:rsid w:val="47BB59C5"/>
    <w:rsid w:val="4FA74E27"/>
    <w:rsid w:val="52C3080E"/>
    <w:rsid w:val="5A9F9128"/>
    <w:rsid w:val="63FF5803"/>
    <w:rsid w:val="66225261"/>
    <w:rsid w:val="677D466F"/>
    <w:rsid w:val="6BFC17D4"/>
    <w:rsid w:val="6EF7BEED"/>
    <w:rsid w:val="6FBFA3E6"/>
    <w:rsid w:val="6FFFB56F"/>
    <w:rsid w:val="736FA43A"/>
    <w:rsid w:val="79EF327C"/>
    <w:rsid w:val="7A3143F1"/>
    <w:rsid w:val="7BFE74EE"/>
    <w:rsid w:val="7D9F6493"/>
    <w:rsid w:val="7FF7023D"/>
    <w:rsid w:val="AF7BC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3985117-246F-4358-BEE2-48D47EE7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able of authorities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eastAsia="仿宋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able of authorities"/>
    <w:basedOn w:val="a"/>
    <w:next w:val="a"/>
    <w:qFormat/>
    <w:pPr>
      <w:ind w:leftChars="200" w:left="4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137</Words>
  <Characters>786</Characters>
  <Application>Microsoft Office Word</Application>
  <DocSecurity>0</DocSecurity>
  <Lines>6</Lines>
  <Paragraphs>1</Paragraphs>
  <ScaleCrop>false</ScaleCrop>
  <Company>MS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3</cp:revision>
  <cp:lastPrinted>2021-02-26T17:41:00Z</cp:lastPrinted>
  <dcterms:created xsi:type="dcterms:W3CDTF">2021-02-25T17:13:00Z</dcterms:created>
  <dcterms:modified xsi:type="dcterms:W3CDTF">2023-03-30T07:38:00Z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6E922B49DA0041FF91777B0D36E078A8</vt:lpwstr>
  </property>
</Properties>
</file>