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9" w:lineRule="exact"/>
        <w:ind w:left="158"/>
        <w:rPr>
          <w:sz w:val="24"/>
        </w:rPr>
      </w:pPr>
      <w:r>
        <w:rPr>
          <w:w w:val="95"/>
          <w:sz w:val="24"/>
        </w:rPr>
        <w:t>附件</w:t>
      </w:r>
      <w:r>
        <w:rPr>
          <w:rFonts w:hint="eastAsia" w:asciiTheme="minorEastAsia" w:hAnsiTheme="minorEastAsia" w:eastAsiaTheme="minorEastAsia"/>
          <w:w w:val="95"/>
          <w:sz w:val="24"/>
        </w:rPr>
        <w:t>1</w:t>
      </w:r>
    </w:p>
    <w:p>
      <w:pPr>
        <w:spacing w:before="320"/>
        <w:ind w:left="-1880"/>
        <w:jc w:val="center"/>
        <w:rPr>
          <w:rFonts w:ascii="黑体" w:eastAsia="黑体"/>
          <w:b/>
          <w:sz w:val="36"/>
        </w:rPr>
      </w:pPr>
      <w:r>
        <w:br w:type="column"/>
      </w:r>
      <w:r>
        <w:rPr>
          <w:rFonts w:hint="eastAsia" w:eastAsia="宋体"/>
          <w:b/>
          <w:w w:val="95"/>
          <w:sz w:val="36"/>
          <w:lang w:val="en-US" w:eastAsia="zh-CN"/>
        </w:rPr>
        <w:t>2021</w:t>
      </w:r>
      <w:r>
        <w:rPr>
          <w:rFonts w:hint="eastAsia" w:ascii="黑体" w:eastAsia="黑体"/>
          <w:b/>
          <w:w w:val="95"/>
          <w:sz w:val="36"/>
        </w:rPr>
        <w:t>年财政专项资金管理清单</w:t>
      </w:r>
    </w:p>
    <w:p>
      <w:pPr>
        <w:rPr>
          <w:rFonts w:ascii="黑体" w:eastAsia="黑体"/>
          <w:sz w:val="36"/>
        </w:rPr>
        <w:sectPr>
          <w:headerReference r:id="rId3" w:type="default"/>
          <w:footerReference r:id="rId4" w:type="default"/>
          <w:pgSz w:w="11910" w:h="16840"/>
          <w:pgMar w:top="1020" w:right="1060" w:bottom="280" w:left="900" w:header="720" w:footer="720" w:gutter="0"/>
          <w:pgNumType w:fmt="numberInDash"/>
          <w:cols w:equalWidth="0" w:num="2">
            <w:col w:w="1227" w:space="864"/>
            <w:col w:w="7859"/>
          </w:cols>
        </w:sectPr>
      </w:pPr>
    </w:p>
    <w:p>
      <w:pPr>
        <w:pStyle w:val="12"/>
        <w:spacing w:before="6" w:after="1"/>
        <w:rPr>
          <w:rFonts w:ascii="黑体" w:eastAsiaTheme="minorEastAsia"/>
          <w:b/>
          <w:sz w:val="19"/>
        </w:rPr>
      </w:pPr>
    </w:p>
    <w:tbl>
      <w:tblPr>
        <w:tblStyle w:val="22"/>
        <w:tblW w:w="9692" w:type="dxa"/>
        <w:tblInd w:w="119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7"/>
        <w:gridCol w:w="5992"/>
        <w:gridCol w:w="3203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4"/>
              <w:ind w:left="14" w:right="-29"/>
              <w:jc w:val="center"/>
              <w:rPr>
                <w:rFonts w:ascii="Times New Roman" w:hAnsi="Times New Roman" w:eastAsia="仿宋" w:cs="Times New Roman"/>
                <w:b/>
                <w:sz w:val="24"/>
              </w:rPr>
            </w:pPr>
            <w:r>
              <w:rPr>
                <w:rFonts w:ascii="Times New Roman" w:hAnsi="Times New Roman" w:eastAsia="仿宋" w:cs="Times New Roman"/>
                <w:b/>
                <w:sz w:val="24"/>
              </w:rPr>
              <w:t>序号</w:t>
            </w:r>
          </w:p>
        </w:tc>
        <w:tc>
          <w:tcPr>
            <w:tcW w:w="5992" w:type="dxa"/>
          </w:tcPr>
          <w:p>
            <w:pPr>
              <w:pStyle w:val="39"/>
              <w:tabs>
                <w:tab w:val="left" w:pos="749"/>
              </w:tabs>
              <w:spacing w:before="14"/>
              <w:ind w:left="22"/>
              <w:jc w:val="center"/>
              <w:rPr>
                <w:rFonts w:ascii="Times New Roman" w:hAnsi="Times New Roman" w:eastAsia="仿宋" w:cs="Times New Roman"/>
                <w:b/>
                <w:sz w:val="24"/>
              </w:rPr>
            </w:pPr>
            <w:r>
              <w:rPr>
                <w:rFonts w:ascii="Times New Roman" w:hAnsi="Times New Roman" w:eastAsia="仿宋" w:cs="Times New Roman"/>
                <w:b/>
                <w:sz w:val="24"/>
              </w:rPr>
              <w:t>项</w:t>
            </w:r>
            <w:r>
              <w:rPr>
                <w:rFonts w:ascii="Times New Roman" w:hAnsi="Times New Roman" w:eastAsia="仿宋" w:cs="Times New Roman"/>
                <w:b/>
                <w:sz w:val="24"/>
              </w:rPr>
              <w:tab/>
            </w:r>
            <w:r>
              <w:rPr>
                <w:rFonts w:ascii="Times New Roman" w:hAnsi="Times New Roman" w:eastAsia="仿宋" w:cs="Times New Roman"/>
                <w:b/>
                <w:sz w:val="24"/>
              </w:rPr>
              <w:t>目</w:t>
            </w:r>
          </w:p>
        </w:tc>
        <w:tc>
          <w:tcPr>
            <w:tcW w:w="3203" w:type="dxa"/>
          </w:tcPr>
          <w:p>
            <w:pPr>
              <w:pStyle w:val="39"/>
              <w:spacing w:before="14"/>
              <w:ind w:left="372" w:right="349"/>
              <w:jc w:val="center"/>
              <w:rPr>
                <w:rFonts w:ascii="Times New Roman" w:hAnsi="Times New Roman" w:eastAsia="仿宋" w:cs="Times New Roman"/>
                <w:b/>
                <w:sz w:val="24"/>
              </w:rPr>
            </w:pPr>
            <w:r>
              <w:rPr>
                <w:rFonts w:ascii="Times New Roman" w:hAnsi="Times New Roman" w:eastAsia="仿宋" w:cs="Times New Roman"/>
                <w:b/>
                <w:sz w:val="24"/>
              </w:rPr>
              <w:t>实施部门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36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1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  <w:r>
              <w:rPr>
                <w:rFonts w:hint="eastAsia" w:ascii="Courier New" w:hAnsi="宋体"/>
                <w:sz w:val="18"/>
                <w:lang w:val="en-US" w:eastAsia="zh-CN"/>
              </w:rPr>
              <w:t>口岸基础设施建设补助资金</w:t>
            </w: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hint="eastAsia" w:ascii="Times New Roman" w:hAnsi="Times New Roman" w:eastAsia="仿宋" w:cs="Times New Roman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lang w:eastAsia="zh-CN"/>
              </w:rPr>
              <w:t>额尔古纳市人民政府外事办公室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36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2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  <w:r>
              <w:rPr>
                <w:rFonts w:hint="eastAsia" w:ascii="Courier New" w:hAnsi="宋体"/>
                <w:sz w:val="18"/>
              </w:rPr>
              <w:t>室韦口岸客货联检厅附属建设项目</w:t>
            </w:r>
          </w:p>
        </w:tc>
        <w:tc>
          <w:tcPr>
            <w:tcW w:w="3203" w:type="dxa"/>
          </w:tcPr>
          <w:p>
            <w:pPr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hint="eastAsia" w:ascii="Times New Roman" w:hAnsi="Times New Roman" w:eastAsia="仿宋" w:cs="Times New Roman"/>
                <w:lang w:eastAsia="zh-CN"/>
              </w:rPr>
              <w:t>额尔古纳市人民政府外事办公室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36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3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  <w:r>
              <w:rPr>
                <w:rFonts w:hint="eastAsia" w:ascii="Courier New" w:hAnsi="宋体"/>
                <w:sz w:val="18"/>
              </w:rPr>
              <w:t>党组织活动专项经费</w:t>
            </w:r>
          </w:p>
        </w:tc>
        <w:tc>
          <w:tcPr>
            <w:tcW w:w="3203" w:type="dxa"/>
          </w:tcPr>
          <w:p>
            <w:pPr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hint="eastAsia" w:ascii="Times New Roman" w:hAnsi="Times New Roman" w:eastAsia="仿宋" w:cs="Times New Roman"/>
                <w:lang w:eastAsia="zh-CN"/>
              </w:rPr>
              <w:t>额尔古纳市人民政府外事办公室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36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4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  <w:r>
              <w:rPr>
                <w:rFonts w:hint="eastAsia" w:ascii="Courier New" w:hAnsi="宋体"/>
                <w:sz w:val="18"/>
              </w:rPr>
              <w:t>中俄蒙展洽会项目</w:t>
            </w:r>
          </w:p>
        </w:tc>
        <w:tc>
          <w:tcPr>
            <w:tcW w:w="3203" w:type="dxa"/>
          </w:tcPr>
          <w:p>
            <w:pPr>
              <w:spacing w:line="260" w:lineRule="exact"/>
              <w:ind w:left="372" w:right="350"/>
              <w:jc w:val="center"/>
              <w:rPr>
                <w:rFonts w:ascii="Times New Roman" w:hAnsi="Times New Roman" w:eastAsia="仿宋" w:cs="Times New Roman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lang w:eastAsia="zh-CN"/>
              </w:rPr>
              <w:t>额尔古纳市人民政府外事办公室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33"/>
              <w:ind w:left="36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5</w:t>
            </w:r>
          </w:p>
        </w:tc>
        <w:tc>
          <w:tcPr>
            <w:tcW w:w="5992" w:type="dxa"/>
          </w:tcPr>
          <w:p>
            <w:pPr>
              <w:pStyle w:val="39"/>
              <w:spacing w:before="98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  <w:r>
              <w:rPr>
                <w:rFonts w:hint="eastAsia" w:ascii="Courier New" w:hAnsi="宋体"/>
                <w:sz w:val="18"/>
              </w:rPr>
              <w:t>口岸运转费</w:t>
            </w:r>
          </w:p>
        </w:tc>
        <w:tc>
          <w:tcPr>
            <w:tcW w:w="3203" w:type="dxa"/>
          </w:tcPr>
          <w:p>
            <w:pPr>
              <w:spacing w:before="3" w:line="272" w:lineRule="exact"/>
              <w:ind w:left="940" w:right="32" w:hanging="884"/>
              <w:rPr>
                <w:rFonts w:ascii="Times New Roman" w:hAnsi="Times New Roman" w:eastAsia="仿宋" w:cs="Times New Roman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lang w:eastAsia="zh-CN"/>
              </w:rPr>
              <w:t>额尔古纳市人民政府外事办公室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line="236" w:lineRule="exact"/>
              <w:ind w:left="36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6</w:t>
            </w:r>
          </w:p>
        </w:tc>
        <w:tc>
          <w:tcPr>
            <w:tcW w:w="5992" w:type="dxa"/>
          </w:tcPr>
          <w:p>
            <w:pPr>
              <w:pStyle w:val="39"/>
              <w:spacing w:line="236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  <w:r>
              <w:rPr>
                <w:rFonts w:hint="eastAsia" w:ascii="Courier New" w:hAnsi="宋体"/>
                <w:sz w:val="18"/>
              </w:rPr>
              <w:t>商务外事地方专项资金</w:t>
            </w:r>
          </w:p>
        </w:tc>
        <w:tc>
          <w:tcPr>
            <w:tcW w:w="3203" w:type="dxa"/>
          </w:tcPr>
          <w:p>
            <w:pPr>
              <w:spacing w:line="236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hint="eastAsia" w:ascii="Times New Roman" w:hAnsi="Times New Roman" w:eastAsia="仿宋" w:cs="Times New Roman"/>
                <w:lang w:eastAsia="zh-CN"/>
              </w:rPr>
              <w:t>额尔古纳市人民政府外事办公室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36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7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36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8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36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9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10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11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12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13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14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15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16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17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18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19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20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21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22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23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24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25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26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50"/>
              <w:jc w:val="center"/>
              <w:rPr>
                <w:rFonts w:ascii="Times New Roman" w:hAnsi="Times New Roman" w:eastAsia="仿宋" w:cs="Times New Roman"/>
                <w:lang w:eastAsia="zh-C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32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27</w:t>
            </w:r>
          </w:p>
        </w:tc>
        <w:tc>
          <w:tcPr>
            <w:tcW w:w="5992" w:type="dxa"/>
          </w:tcPr>
          <w:p>
            <w:pPr>
              <w:pStyle w:val="39"/>
              <w:spacing w:before="98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before="3" w:line="272" w:lineRule="exact"/>
              <w:ind w:left="1161" w:right="32" w:hanging="1105"/>
              <w:rPr>
                <w:rFonts w:ascii="Times New Roman" w:hAnsi="Times New Roman" w:eastAsia="仿宋" w:cs="Times New Roman"/>
                <w:lang w:eastAsia="zh-C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line="237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28</w:t>
            </w:r>
          </w:p>
        </w:tc>
        <w:tc>
          <w:tcPr>
            <w:tcW w:w="5992" w:type="dxa"/>
          </w:tcPr>
          <w:p>
            <w:pPr>
              <w:pStyle w:val="39"/>
              <w:spacing w:line="237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37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29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30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31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32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97" w:type="dxa"/>
          </w:tcPr>
          <w:p>
            <w:pPr>
              <w:pStyle w:val="39"/>
              <w:spacing w:before="10" w:line="250" w:lineRule="exact"/>
              <w:ind w:left="126" w:right="90"/>
              <w:jc w:val="center"/>
              <w:rPr>
                <w:rFonts w:ascii="Times New Roman" w:hAnsi="Times New Roman" w:eastAsia="仿宋" w:cs="Times New Roman"/>
              </w:rPr>
            </w:pPr>
            <w:r>
              <w:rPr>
                <w:rFonts w:ascii="Times New Roman" w:hAnsi="Times New Roman" w:eastAsia="仿宋" w:cs="Times New Roman"/>
              </w:rPr>
              <w:t>33</w:t>
            </w:r>
          </w:p>
        </w:tc>
        <w:tc>
          <w:tcPr>
            <w:tcW w:w="5992" w:type="dxa"/>
          </w:tcPr>
          <w:p>
            <w:pPr>
              <w:pStyle w:val="39"/>
              <w:spacing w:line="260" w:lineRule="exact"/>
              <w:ind w:left="37"/>
              <w:rPr>
                <w:rFonts w:ascii="Times New Roman" w:hAnsi="Times New Roman" w:eastAsia="仿宋" w:cs="Times New Roman"/>
                <w:lang w:eastAsia="zh-CN"/>
              </w:rPr>
            </w:pPr>
          </w:p>
        </w:tc>
        <w:tc>
          <w:tcPr>
            <w:tcW w:w="3203" w:type="dxa"/>
          </w:tcPr>
          <w:p>
            <w:pPr>
              <w:pStyle w:val="39"/>
              <w:spacing w:line="260" w:lineRule="exact"/>
              <w:ind w:left="372" w:right="349"/>
              <w:jc w:val="center"/>
              <w:rPr>
                <w:rFonts w:ascii="Times New Roman" w:hAnsi="Times New Roman" w:eastAsia="仿宋" w:cs="Times New Roman"/>
              </w:rPr>
            </w:pPr>
          </w:p>
        </w:tc>
      </w:tr>
    </w:tbl>
    <w:p>
      <w:pPr>
        <w:spacing w:line="260" w:lineRule="exact"/>
        <w:jc w:val="center"/>
        <w:sectPr>
          <w:type w:val="continuous"/>
          <w:pgSz w:w="11910" w:h="16840"/>
          <w:pgMar w:top="1580" w:right="1060" w:bottom="280" w:left="900" w:header="720" w:footer="720" w:gutter="0"/>
          <w:pgNumType w:fmt="numberInDash"/>
          <w:cols w:space="720" w:num="1"/>
        </w:sectPr>
      </w:pPr>
    </w:p>
    <w:p>
      <w:pPr>
        <w:spacing w:line="363" w:lineRule="exact"/>
        <w:ind w:left="150"/>
        <w:rPr>
          <w:sz w:val="25"/>
        </w:rPr>
      </w:pPr>
      <w:r>
        <w:rPr>
          <w:w w:val="95"/>
          <w:sz w:val="25"/>
        </w:rPr>
        <w:t>附件</w:t>
      </w:r>
      <w:r>
        <w:rPr>
          <w:rFonts w:hint="eastAsia" w:asciiTheme="minorEastAsia" w:hAnsiTheme="minorEastAsia" w:eastAsiaTheme="minorEastAsia"/>
          <w:w w:val="95"/>
          <w:sz w:val="25"/>
        </w:rPr>
        <w:t>2</w:t>
      </w:r>
    </w:p>
    <w:p>
      <w:pPr>
        <w:pStyle w:val="12"/>
        <w:spacing w:before="5"/>
        <w:ind w:left="-3360" w:leftChars="-1600"/>
        <w:jc w:val="center"/>
        <w:rPr>
          <w:rFonts w:ascii="黑体" w:eastAsia="黑体"/>
          <w:sz w:val="29"/>
        </w:rPr>
      </w:pPr>
      <w:r>
        <w:br w:type="column"/>
      </w:r>
      <w:r>
        <w:rPr>
          <w:rFonts w:hint="eastAsia" w:ascii="方正小标宋简体" w:hAnsi="华文中宋" w:eastAsia="方正小标宋简体" w:cs="宋体"/>
          <w:bCs/>
          <w:spacing w:val="20"/>
          <w:sz w:val="44"/>
          <w:szCs w:val="44"/>
        </w:rPr>
        <w:t>部门整体预算绩效目标表</w:t>
      </w:r>
    </w:p>
    <w:p>
      <w:pPr>
        <w:pStyle w:val="12"/>
        <w:spacing w:before="2"/>
        <w:ind w:firstLine="120"/>
        <w:rPr>
          <w:rFonts w:ascii="宋体" w:eastAsia="宋体"/>
        </w:rPr>
      </w:pPr>
      <w:r>
        <w:rPr>
          <w:rFonts w:hint="eastAsia" w:ascii="方正楷体简体" w:hAnsi="方正楷体简体" w:eastAsia="方正楷体简体" w:cs="方正楷体简体"/>
          <w:sz w:val="32"/>
          <w:szCs w:val="40"/>
        </w:rPr>
        <w:t xml:space="preserve">（  </w:t>
      </w:r>
      <w:r>
        <w:rPr>
          <w:rFonts w:hint="eastAsia" w:ascii="方正楷体简体" w:hAnsi="方正楷体简体" w:eastAsia="方正楷体简体" w:cs="方正楷体简体"/>
          <w:sz w:val="32"/>
          <w:szCs w:val="40"/>
          <w:lang w:val="en-US" w:eastAsia="zh-CN"/>
        </w:rPr>
        <w:t>2021</w:t>
      </w:r>
      <w:r>
        <w:rPr>
          <w:rFonts w:hint="eastAsia" w:ascii="方正楷体简体" w:hAnsi="方正楷体简体" w:eastAsia="方正楷体简体" w:cs="方正楷体简体"/>
          <w:sz w:val="32"/>
          <w:szCs w:val="40"/>
        </w:rPr>
        <w:t xml:space="preserve"> 年度）</w:t>
      </w:r>
    </w:p>
    <w:p>
      <w:pPr>
        <w:jc w:val="center"/>
        <w:rPr>
          <w:rFonts w:ascii="宋体" w:eastAsia="宋体"/>
        </w:rPr>
        <w:sectPr>
          <w:pgSz w:w="11910" w:h="16840"/>
          <w:pgMar w:top="1060" w:right="940" w:bottom="280" w:left="920" w:header="720" w:footer="720" w:gutter="0"/>
          <w:pgNumType w:fmt="numberInDash"/>
          <w:cols w:equalWidth="0" w:num="2">
            <w:col w:w="787" w:space="2500"/>
            <w:col w:w="6763"/>
          </w:cols>
        </w:sectPr>
      </w:pPr>
    </w:p>
    <w:p>
      <w:pPr>
        <w:pStyle w:val="12"/>
        <w:spacing w:before="2"/>
        <w:ind w:firstLine="120"/>
        <w:rPr>
          <w:rFonts w:ascii="宋体"/>
          <w:sz w:val="6"/>
        </w:rPr>
      </w:pPr>
    </w:p>
    <w:tbl>
      <w:tblPr>
        <w:tblStyle w:val="22"/>
        <w:tblW w:w="9818" w:type="dxa"/>
        <w:tblInd w:w="112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517"/>
        <w:gridCol w:w="953"/>
        <w:gridCol w:w="1161"/>
        <w:gridCol w:w="2660"/>
        <w:gridCol w:w="1325"/>
        <w:gridCol w:w="125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2463" w:type="dxa"/>
            <w:gridSpan w:val="2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单位名称</w:t>
            </w:r>
          </w:p>
        </w:tc>
        <w:tc>
          <w:tcPr>
            <w:tcW w:w="4774" w:type="dxa"/>
            <w:gridSpan w:val="3"/>
          </w:tcPr>
          <w:p>
            <w:pPr>
              <w:pStyle w:val="39"/>
              <w:spacing w:before="91"/>
              <w:ind w:right="140"/>
              <w:jc w:val="both"/>
              <w:rPr>
                <w:rFonts w:hint="eastAsia" w:ascii="Times New Roman" w:hAnsi="Times New Roman" w:eastAsia="仿宋" w:cs="Times New Roman"/>
                <w:sz w:val="21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eastAsia="zh-CN"/>
              </w:rPr>
              <w:t>额尔古纳市人民政府外事办公室</w:t>
            </w:r>
          </w:p>
        </w:tc>
        <w:tc>
          <w:tcPr>
            <w:tcW w:w="1325" w:type="dxa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资金总额</w:t>
            </w:r>
          </w:p>
        </w:tc>
        <w:tc>
          <w:tcPr>
            <w:tcW w:w="1256" w:type="dxa"/>
          </w:tcPr>
          <w:p>
            <w:pPr>
              <w:pStyle w:val="39"/>
              <w:spacing w:before="91"/>
              <w:ind w:right="140"/>
              <w:jc w:val="both"/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1228.59万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946" w:type="dxa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一级指标</w:t>
            </w:r>
          </w:p>
        </w:tc>
        <w:tc>
          <w:tcPr>
            <w:tcW w:w="1517" w:type="dxa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二级指标</w:t>
            </w:r>
          </w:p>
        </w:tc>
        <w:tc>
          <w:tcPr>
            <w:tcW w:w="953" w:type="dxa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重点工作</w:t>
            </w:r>
          </w:p>
        </w:tc>
        <w:tc>
          <w:tcPr>
            <w:tcW w:w="1161" w:type="dxa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对应项目</w:t>
            </w:r>
          </w:p>
        </w:tc>
        <w:tc>
          <w:tcPr>
            <w:tcW w:w="2660" w:type="dxa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三级指标</w:t>
            </w:r>
          </w:p>
        </w:tc>
        <w:tc>
          <w:tcPr>
            <w:tcW w:w="1325" w:type="dxa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半年指标值</w:t>
            </w:r>
          </w:p>
        </w:tc>
        <w:tc>
          <w:tcPr>
            <w:tcW w:w="1256" w:type="dxa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全年指标值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946" w:type="dxa"/>
            <w:vMerge w:val="restart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</w:p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</w:p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</w:p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</w:p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</w:p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</w:p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</w:p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</w:p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</w:p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履职</w:t>
            </w:r>
          </w:p>
        </w:tc>
        <w:tc>
          <w:tcPr>
            <w:tcW w:w="1517" w:type="dxa"/>
            <w:vMerge w:val="restart"/>
          </w:tcPr>
          <w:p>
            <w:pPr>
              <w:pStyle w:val="39"/>
              <w:spacing w:before="91"/>
              <w:ind w:right="140"/>
              <w:jc w:val="both"/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职能1</w:t>
            </w:r>
            <w:r>
              <w:rPr>
                <w:rFonts w:hint="eastAsia" w:ascii="Times New Roman" w:hAnsi="Times New Roman" w:eastAsia="仿宋" w:cs="Times New Roman"/>
                <w:sz w:val="21"/>
                <w:lang w:eastAsia="zh-CN"/>
              </w:rPr>
              <w:t>：外事工作、国内外贸易、国际经济合作、外商投资</w:t>
            </w: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.</w:t>
            </w:r>
          </w:p>
        </w:tc>
        <w:tc>
          <w:tcPr>
            <w:tcW w:w="953" w:type="dxa"/>
            <w:vMerge w:val="restart"/>
          </w:tcPr>
          <w:p>
            <w:pPr>
              <w:pStyle w:val="39"/>
              <w:spacing w:before="91"/>
              <w:ind w:right="140"/>
              <w:jc w:val="both"/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额尔古纳市人民政府外事办公室贯彻党中央关于外事工作、国内外贸易、国际经济合作、外商投资</w:t>
            </w:r>
          </w:p>
        </w:tc>
        <w:tc>
          <w:tcPr>
            <w:tcW w:w="1161" w:type="dxa"/>
            <w:vMerge w:val="restart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hint="eastAsia" w:ascii="Times New Roman" w:hAnsi="Times New Roman" w:eastAsia="仿宋" w:cs="Times New Roman"/>
                <w:sz w:val="21"/>
              </w:rPr>
              <w:t>中俄蒙展洽会项目</w:t>
            </w:r>
          </w:p>
        </w:tc>
        <w:tc>
          <w:tcPr>
            <w:tcW w:w="2660" w:type="dxa"/>
          </w:tcPr>
          <w:p>
            <w:pPr>
              <w:pStyle w:val="39"/>
              <w:spacing w:before="91"/>
              <w:ind w:right="140"/>
              <w:jc w:val="both"/>
              <w:rPr>
                <w:rFonts w:hint="eastAsia" w:ascii="Times New Roman" w:hAnsi="Times New Roman" w:eastAsia="仿宋" w:cs="Times New Roman"/>
                <w:sz w:val="21"/>
                <w:lang w:eastAsia="zh-CN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指标1</w:t>
            </w:r>
            <w:r>
              <w:rPr>
                <w:rFonts w:hint="eastAsia" w:ascii="Times New Roman" w:hAnsi="Times New Roman" w:eastAsia="仿宋" w:cs="Times New Roman"/>
                <w:sz w:val="21"/>
                <w:lang w:eastAsia="zh-CN"/>
              </w:rPr>
              <w:t>：</w:t>
            </w:r>
            <w:r>
              <w:rPr>
                <w:rFonts w:hint="eastAsia" w:ascii="Times New Roman" w:hAnsi="Times New Roman" w:eastAsia="仿宋" w:cs="Times New Roman"/>
                <w:sz w:val="21"/>
              </w:rPr>
              <w:t>如期举行。</w:t>
            </w:r>
          </w:p>
        </w:tc>
        <w:tc>
          <w:tcPr>
            <w:tcW w:w="1325" w:type="dxa"/>
          </w:tcPr>
          <w:p>
            <w:pPr>
              <w:pStyle w:val="39"/>
              <w:spacing w:before="91"/>
              <w:ind w:right="140"/>
              <w:jc w:val="both"/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≥50%</w:t>
            </w:r>
          </w:p>
        </w:tc>
        <w:tc>
          <w:tcPr>
            <w:tcW w:w="1256" w:type="dxa"/>
          </w:tcPr>
          <w:p>
            <w:pPr>
              <w:pStyle w:val="39"/>
              <w:spacing w:before="91"/>
              <w:ind w:right="140"/>
              <w:jc w:val="both"/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946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517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953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161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2660" w:type="dxa"/>
          </w:tcPr>
          <w:p>
            <w:pPr>
              <w:pStyle w:val="39"/>
              <w:spacing w:before="91"/>
              <w:ind w:left="4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指标2：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取得了较好的品牌宣传效果。</w:t>
            </w:r>
          </w:p>
          <w:p>
            <w:pPr>
              <w:pStyle w:val="39"/>
              <w:spacing w:before="91"/>
              <w:ind w:left="4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指标3：促进品牌宣传，展示我市经济发展成就。</w:t>
            </w:r>
          </w:p>
          <w:p>
            <w:pPr>
              <w:pStyle w:val="39"/>
              <w:spacing w:before="91"/>
              <w:ind w:left="4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指标4：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推动中俄蒙三国毗邻地区经贸合作和文化交流。</w:t>
            </w:r>
          </w:p>
          <w:p>
            <w:pPr>
              <w:pStyle w:val="39"/>
              <w:spacing w:before="91"/>
              <w:ind w:left="4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指标5：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相关工作人员满意程度。</w:t>
            </w:r>
          </w:p>
          <w:p>
            <w:pPr>
              <w:pStyle w:val="39"/>
              <w:spacing w:before="91"/>
              <w:ind w:left="4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325" w:type="dxa"/>
            <w:vAlign w:val="top"/>
          </w:tcPr>
          <w:p>
            <w:pPr>
              <w:pStyle w:val="39"/>
              <w:spacing w:before="91"/>
              <w:ind w:left="4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  <w:p>
            <w:pPr>
              <w:pStyle w:val="39"/>
              <w:spacing w:before="91"/>
              <w:ind w:left="4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  <w:p>
            <w:pPr>
              <w:pStyle w:val="39"/>
              <w:spacing w:before="91"/>
              <w:ind w:left="4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  <w:p>
            <w:pPr>
              <w:pStyle w:val="39"/>
              <w:spacing w:before="91"/>
              <w:ind w:left="4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  <w:p>
            <w:pPr>
              <w:pStyle w:val="39"/>
              <w:spacing w:before="91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  <w:p>
            <w:pPr>
              <w:pStyle w:val="39"/>
              <w:spacing w:before="91"/>
              <w:ind w:left="4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</w:tc>
        <w:tc>
          <w:tcPr>
            <w:tcW w:w="1256" w:type="dxa"/>
            <w:vAlign w:val="top"/>
          </w:tcPr>
          <w:p>
            <w:pPr>
              <w:pStyle w:val="39"/>
              <w:spacing w:before="91"/>
              <w:ind w:left="4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  <w:p>
            <w:pPr>
              <w:pStyle w:val="39"/>
              <w:spacing w:before="91"/>
              <w:ind w:left="4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  <w:p>
            <w:pPr>
              <w:pStyle w:val="39"/>
              <w:spacing w:before="91"/>
              <w:ind w:left="4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  <w:p>
            <w:pPr>
              <w:pStyle w:val="39"/>
              <w:spacing w:before="91"/>
              <w:ind w:left="4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  <w:p>
            <w:pPr>
              <w:pStyle w:val="39"/>
              <w:spacing w:before="91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  <w:p>
            <w:pPr>
              <w:pStyle w:val="39"/>
              <w:spacing w:before="91"/>
              <w:ind w:left="4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946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517" w:type="dxa"/>
            <w:vMerge w:val="restart"/>
          </w:tcPr>
          <w:p>
            <w:pPr>
              <w:pStyle w:val="39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职能2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：负责口岸管理工作</w:t>
            </w:r>
          </w:p>
        </w:tc>
        <w:tc>
          <w:tcPr>
            <w:tcW w:w="953" w:type="dxa"/>
            <w:vMerge w:val="restart"/>
          </w:tcPr>
          <w:p>
            <w:pPr>
              <w:pStyle w:val="39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保障机关及口岸正常运行。</w:t>
            </w:r>
          </w:p>
        </w:tc>
        <w:tc>
          <w:tcPr>
            <w:tcW w:w="1161" w:type="dxa"/>
            <w:vMerge w:val="restart"/>
          </w:tcPr>
          <w:p>
            <w:pPr>
              <w:pStyle w:val="39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室韦口岸客货联检厅附属建设项目</w:t>
            </w:r>
          </w:p>
        </w:tc>
        <w:tc>
          <w:tcPr>
            <w:tcW w:w="2660" w:type="dxa"/>
          </w:tcPr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指标1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：保证施工质量。</w:t>
            </w:r>
          </w:p>
        </w:tc>
        <w:tc>
          <w:tcPr>
            <w:tcW w:w="1325" w:type="dxa"/>
            <w:vAlign w:val="top"/>
          </w:tcPr>
          <w:p>
            <w:pPr>
              <w:pStyle w:val="39"/>
              <w:spacing w:before="91"/>
              <w:ind w:left="40" w:leftChars="0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256" w:type="dxa"/>
            <w:vAlign w:val="top"/>
          </w:tcPr>
          <w:p>
            <w:pPr>
              <w:pStyle w:val="39"/>
              <w:spacing w:before="91"/>
              <w:ind w:left="40" w:leftChars="0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1" w:hRule="atLeast"/>
        </w:trPr>
        <w:tc>
          <w:tcPr>
            <w:tcW w:w="946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517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953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161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2660" w:type="dxa"/>
          </w:tcPr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指标2：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按时完工。</w:t>
            </w:r>
          </w:p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指标3：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畅通货物运输。</w:t>
            </w:r>
          </w:p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指标4：完善口岸基础设施。</w:t>
            </w:r>
          </w:p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指标5：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相关工作人员满意度</w:t>
            </w:r>
          </w:p>
        </w:tc>
        <w:tc>
          <w:tcPr>
            <w:tcW w:w="1325" w:type="dxa"/>
            <w:vAlign w:val="top"/>
          </w:tcPr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256" w:type="dxa"/>
            <w:vAlign w:val="top"/>
          </w:tcPr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946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517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953" w:type="dxa"/>
          </w:tcPr>
          <w:p>
            <w:pPr>
              <w:pStyle w:val="39"/>
              <w:spacing w:before="11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ind w:left="148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重点工作2</w:t>
            </w:r>
          </w:p>
        </w:tc>
        <w:tc>
          <w:tcPr>
            <w:tcW w:w="1161" w:type="dxa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口岸基础设施建设补助资金</w:t>
            </w:r>
          </w:p>
        </w:tc>
        <w:tc>
          <w:tcPr>
            <w:tcW w:w="2660" w:type="dxa"/>
          </w:tcPr>
          <w:p>
            <w:pPr>
              <w:pStyle w:val="39"/>
              <w:spacing w:before="91"/>
              <w:ind w:left="36"/>
              <w:rPr>
                <w:rFonts w:hint="eastAsia" w:ascii="Courier New" w:hAnsi="宋体"/>
                <w:sz w:val="18"/>
                <w:lang w:val="en-US" w:eastAsia="zh-CN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指标1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：</w:t>
            </w:r>
            <w:r>
              <w:rPr>
                <w:rFonts w:hint="eastAsia" w:ascii="Courier New" w:hAnsi="宋体"/>
                <w:sz w:val="18"/>
              </w:rPr>
              <w:t>配备齐全</w:t>
            </w:r>
            <w:r>
              <w:rPr>
                <w:rFonts w:hint="eastAsia" w:ascii="Courier New" w:hAnsi="宋体"/>
                <w:sz w:val="18"/>
                <w:lang w:val="en-US" w:eastAsia="zh-CN"/>
              </w:rPr>
              <w:t>监控</w:t>
            </w:r>
            <w:r>
              <w:rPr>
                <w:rFonts w:hint="eastAsia" w:ascii="Courier New" w:hAnsi="宋体"/>
                <w:sz w:val="18"/>
              </w:rPr>
              <w:t>配套设施设备</w:t>
            </w:r>
            <w:r>
              <w:rPr>
                <w:rFonts w:hint="eastAsia" w:ascii="Courier New" w:hAnsi="宋体"/>
                <w:sz w:val="18"/>
                <w:lang w:val="en-US" w:eastAsia="zh-CN"/>
              </w:rPr>
              <w:t>且安装调试合格。</w:t>
            </w:r>
          </w:p>
          <w:p>
            <w:pPr>
              <w:pStyle w:val="39"/>
              <w:spacing w:before="91"/>
              <w:ind w:left="36"/>
              <w:rPr>
                <w:rFonts w:hint="eastAsia" w:ascii="Courier New" w:hAnsi="宋体"/>
                <w:sz w:val="18"/>
                <w:lang w:val="en-US" w:eastAsia="zh-CN"/>
              </w:rPr>
            </w:pPr>
            <w:r>
              <w:rPr>
                <w:rFonts w:hint="eastAsia" w:ascii="Courier New"/>
                <w:sz w:val="18"/>
                <w:lang w:val="en-US" w:eastAsia="zh-CN"/>
              </w:rPr>
              <w:t>指标2：</w:t>
            </w:r>
            <w:r>
              <w:rPr>
                <w:rFonts w:hint="eastAsia" w:ascii="Courier New" w:hAnsi="宋体"/>
                <w:sz w:val="18"/>
                <w:lang w:val="en-US" w:eastAsia="zh-CN"/>
              </w:rPr>
              <w:t>保证施工质量。</w:t>
            </w:r>
          </w:p>
          <w:p>
            <w:pPr>
              <w:pStyle w:val="39"/>
              <w:spacing w:before="91"/>
              <w:ind w:left="36"/>
              <w:rPr>
                <w:rFonts w:hint="eastAsia" w:ascii="宋体" w:hAnsi="宋体"/>
                <w:color w:val="000000"/>
                <w:sz w:val="18"/>
              </w:rPr>
            </w:pPr>
            <w:r>
              <w:rPr>
                <w:rFonts w:hint="eastAsia" w:ascii="Courier New"/>
                <w:sz w:val="18"/>
                <w:lang w:val="en-US" w:eastAsia="zh-CN"/>
              </w:rPr>
              <w:t>指标3：</w:t>
            </w:r>
            <w:r>
              <w:rPr>
                <w:rFonts w:hint="eastAsia" w:ascii="宋体" w:hAnsi="宋体"/>
                <w:color w:val="000000"/>
                <w:sz w:val="18"/>
              </w:rPr>
              <w:t>按时完工。</w:t>
            </w:r>
          </w:p>
          <w:p>
            <w:pPr>
              <w:pStyle w:val="39"/>
              <w:spacing w:before="91"/>
              <w:ind w:left="36"/>
              <w:rPr>
                <w:rFonts w:hint="eastAsia" w:ascii="宋体" w:hAnsi="宋体"/>
                <w:color w:val="000000"/>
                <w:sz w:val="18"/>
              </w:rPr>
            </w:pPr>
            <w:r>
              <w:rPr>
                <w:rFonts w:hint="eastAsia"/>
                <w:color w:val="000000"/>
                <w:sz w:val="18"/>
                <w:lang w:eastAsia="zh-CN"/>
              </w:rPr>
              <w:t>指标</w:t>
            </w:r>
            <w:r>
              <w:rPr>
                <w:rFonts w:hint="eastAsia"/>
                <w:color w:val="000000"/>
                <w:sz w:val="18"/>
                <w:lang w:val="en-US" w:eastAsia="zh-CN"/>
              </w:rPr>
              <w:t>4：</w:t>
            </w:r>
            <w:r>
              <w:rPr>
                <w:rFonts w:hint="eastAsia" w:ascii="宋体" w:hAnsi="宋体"/>
                <w:color w:val="000000"/>
                <w:sz w:val="18"/>
              </w:rPr>
              <w:t>提升口岸功能，完善口岸基础设施。</w:t>
            </w:r>
          </w:p>
          <w:p>
            <w:pPr>
              <w:pStyle w:val="39"/>
              <w:spacing w:before="91"/>
              <w:ind w:left="36"/>
              <w:rPr>
                <w:rFonts w:hint="eastAsia" w:ascii="宋体" w:hAnsi="宋体"/>
                <w:color w:val="000000"/>
                <w:sz w:val="18"/>
              </w:rPr>
            </w:pPr>
            <w:r>
              <w:rPr>
                <w:rFonts w:hint="eastAsia"/>
                <w:color w:val="000000"/>
                <w:sz w:val="18"/>
                <w:lang w:eastAsia="zh-CN"/>
              </w:rPr>
              <w:t>指标</w:t>
            </w:r>
            <w:r>
              <w:rPr>
                <w:rFonts w:hint="eastAsia"/>
                <w:color w:val="000000"/>
                <w:sz w:val="18"/>
                <w:lang w:val="en-US" w:eastAsia="zh-CN"/>
              </w:rPr>
              <w:t>5：</w:t>
            </w:r>
            <w:r>
              <w:rPr>
                <w:rFonts w:hint="eastAsia" w:ascii="宋体" w:hAnsi="宋体"/>
                <w:color w:val="000000"/>
                <w:sz w:val="18"/>
              </w:rPr>
              <w:t>保障口岸安全。</w:t>
            </w:r>
          </w:p>
          <w:p>
            <w:pPr>
              <w:pStyle w:val="39"/>
              <w:spacing w:before="91"/>
              <w:ind w:left="36"/>
              <w:rPr>
                <w:rFonts w:hint="eastAsia" w:ascii="宋体" w:hAnsi="宋体" w:eastAsia="宋体"/>
                <w:color w:val="000000"/>
                <w:sz w:val="18"/>
                <w:lang w:val="en-US" w:eastAsia="zh-CN"/>
              </w:rPr>
            </w:pPr>
            <w:r>
              <w:rPr>
                <w:rFonts w:hint="eastAsia"/>
                <w:color w:val="000000"/>
                <w:sz w:val="18"/>
                <w:lang w:eastAsia="zh-CN"/>
              </w:rPr>
              <w:t>指标</w:t>
            </w:r>
            <w:r>
              <w:rPr>
                <w:rFonts w:hint="eastAsia"/>
                <w:color w:val="000000"/>
                <w:sz w:val="18"/>
                <w:lang w:val="en-US" w:eastAsia="zh-CN"/>
              </w:rPr>
              <w:t>6：</w:t>
            </w:r>
            <w:r>
              <w:rPr>
                <w:rFonts w:hint="eastAsia" w:ascii="Courier New" w:hAnsi="宋体"/>
                <w:sz w:val="18"/>
              </w:rPr>
              <w:t>主管部门满意度</w:t>
            </w:r>
            <w:r>
              <w:rPr>
                <w:rFonts w:hint="eastAsia" w:ascii="Courier New"/>
                <w:sz w:val="18"/>
                <w:lang w:eastAsia="zh-CN"/>
              </w:rPr>
              <w:t>，</w:t>
            </w:r>
            <w:r>
              <w:rPr>
                <w:rFonts w:hint="eastAsia" w:ascii="Courier New" w:hAnsi="宋体"/>
                <w:sz w:val="18"/>
                <w:lang w:val="en-US" w:eastAsia="zh-CN"/>
              </w:rPr>
              <w:t>相关工作人员</w:t>
            </w:r>
            <w:r>
              <w:rPr>
                <w:rFonts w:hint="eastAsia" w:ascii="Courier New" w:hAnsi="宋体"/>
                <w:sz w:val="18"/>
              </w:rPr>
              <w:t>满意度</w:t>
            </w:r>
          </w:p>
        </w:tc>
        <w:tc>
          <w:tcPr>
            <w:tcW w:w="1325" w:type="dxa"/>
            <w:vAlign w:val="top"/>
          </w:tcPr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  <w:p>
            <w:pPr>
              <w:pStyle w:val="39"/>
              <w:spacing w:before="91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  <w:p>
            <w:pPr>
              <w:pStyle w:val="39"/>
              <w:spacing w:before="91"/>
              <w:ind w:left="40" w:leftChars="0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256" w:type="dxa"/>
            <w:vAlign w:val="top"/>
          </w:tcPr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  <w:p>
            <w:pPr>
              <w:pStyle w:val="39"/>
              <w:spacing w:before="91"/>
              <w:ind w:left="40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  <w:p>
            <w:pPr>
              <w:pStyle w:val="39"/>
              <w:spacing w:before="91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  <w:p>
            <w:pPr>
              <w:pStyle w:val="39"/>
              <w:spacing w:before="91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946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517" w:type="dxa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职能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3：商贸流通产业管理工作、负责推荐全市商贸流通产业结构调整</w:t>
            </w:r>
          </w:p>
        </w:tc>
        <w:tc>
          <w:tcPr>
            <w:tcW w:w="953" w:type="dxa"/>
          </w:tcPr>
          <w:p>
            <w:pPr>
              <w:pStyle w:val="39"/>
              <w:spacing w:before="91"/>
              <w:ind w:left="16"/>
              <w:jc w:val="center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161" w:type="dxa"/>
          </w:tcPr>
          <w:p>
            <w:pPr>
              <w:pStyle w:val="39"/>
              <w:spacing w:before="91"/>
              <w:ind w:left="20"/>
              <w:jc w:val="center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商务外事地方专项资金</w:t>
            </w:r>
          </w:p>
        </w:tc>
        <w:tc>
          <w:tcPr>
            <w:tcW w:w="2660" w:type="dxa"/>
          </w:tcPr>
          <w:p>
            <w:pPr>
              <w:pStyle w:val="39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指标1：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检查、参加会议、汇报工作</w:t>
            </w:r>
          </w:p>
          <w:p>
            <w:pPr>
              <w:pStyle w:val="39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指标2：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组织对俄视频会议</w:t>
            </w:r>
          </w:p>
          <w:p>
            <w:pPr>
              <w:pStyle w:val="39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指标3：口岸后勤及设施维护情况</w:t>
            </w:r>
          </w:p>
          <w:p>
            <w:pPr>
              <w:pStyle w:val="39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指标4：工作处理及时度</w:t>
            </w:r>
          </w:p>
          <w:p>
            <w:pPr>
              <w:pStyle w:val="39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指标5：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促进口岸流通工作。</w:t>
            </w:r>
          </w:p>
          <w:p>
            <w:pPr>
              <w:pStyle w:val="39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指标6：有利于对外工作的开展，促进对外交流等工作，开展安全、口岸检查加强对社会安全活动监督</w:t>
            </w:r>
          </w:p>
          <w:p>
            <w:pPr>
              <w:pStyle w:val="39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指标7：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保障日常工作，无工作停滞情况</w:t>
            </w:r>
          </w:p>
          <w:p>
            <w:pPr>
              <w:pStyle w:val="39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指标8：服务对象，包括外贸内贸企业、海关边检人员等满意程度</w:t>
            </w:r>
          </w:p>
          <w:p>
            <w:pPr>
              <w:pStyle w:val="2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325" w:type="dxa"/>
          </w:tcPr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198次</w:t>
            </w:r>
          </w:p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1次</w:t>
            </w:r>
          </w:p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</w:tc>
        <w:tc>
          <w:tcPr>
            <w:tcW w:w="1256" w:type="dxa"/>
          </w:tcPr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394次</w:t>
            </w:r>
          </w:p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  <w:p>
            <w:pPr>
              <w:pStyle w:val="39"/>
              <w:spacing w:before="91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1次</w:t>
            </w:r>
          </w:p>
          <w:p>
            <w:pPr>
              <w:pStyle w:val="39"/>
              <w:spacing w:before="91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  <w:p>
            <w:pPr>
              <w:pStyle w:val="39"/>
              <w:spacing w:before="91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  <w:p>
            <w:pPr>
              <w:pStyle w:val="39"/>
              <w:spacing w:before="91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  <w:p>
            <w:pPr>
              <w:pStyle w:val="39"/>
              <w:spacing w:before="91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  <w:p>
            <w:pPr>
              <w:pStyle w:val="39"/>
              <w:spacing w:before="91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  <w:p>
            <w:pPr>
              <w:pStyle w:val="39"/>
              <w:spacing w:before="91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  <w:p>
            <w:pPr>
              <w:pStyle w:val="39"/>
              <w:spacing w:before="91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  <w:p>
            <w:pPr>
              <w:pStyle w:val="39"/>
              <w:spacing w:before="91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  <w:p>
            <w:pPr>
              <w:pStyle w:val="39"/>
              <w:spacing w:before="91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  <w:p>
            <w:pPr>
              <w:pStyle w:val="39"/>
              <w:spacing w:before="91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946" w:type="dxa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一级指标</w:t>
            </w:r>
          </w:p>
        </w:tc>
        <w:tc>
          <w:tcPr>
            <w:tcW w:w="3631" w:type="dxa"/>
            <w:gridSpan w:val="3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二级指标</w:t>
            </w:r>
          </w:p>
        </w:tc>
        <w:tc>
          <w:tcPr>
            <w:tcW w:w="2660" w:type="dxa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三级指标</w:t>
            </w:r>
          </w:p>
        </w:tc>
        <w:tc>
          <w:tcPr>
            <w:tcW w:w="1325" w:type="dxa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半年指标值</w:t>
            </w:r>
          </w:p>
        </w:tc>
        <w:tc>
          <w:tcPr>
            <w:tcW w:w="1256" w:type="dxa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全年指标值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946" w:type="dxa"/>
            <w:vMerge w:val="restart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效益</w:t>
            </w:r>
          </w:p>
        </w:tc>
        <w:tc>
          <w:tcPr>
            <w:tcW w:w="3631" w:type="dxa"/>
            <w:gridSpan w:val="3"/>
            <w:vMerge w:val="restart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社会效益</w:t>
            </w:r>
          </w:p>
        </w:tc>
        <w:tc>
          <w:tcPr>
            <w:tcW w:w="2660" w:type="dxa"/>
          </w:tcPr>
          <w:p>
            <w:pPr>
              <w:pStyle w:val="39"/>
              <w:spacing w:before="91"/>
              <w:ind w:right="140"/>
              <w:jc w:val="both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指标1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：完善口岸基础设施</w:t>
            </w:r>
          </w:p>
        </w:tc>
        <w:tc>
          <w:tcPr>
            <w:tcW w:w="1325" w:type="dxa"/>
          </w:tcPr>
          <w:p>
            <w:pPr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</w:tc>
        <w:tc>
          <w:tcPr>
            <w:tcW w:w="1256" w:type="dxa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946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3631" w:type="dxa"/>
            <w:gridSpan w:val="3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2660" w:type="dxa"/>
          </w:tcPr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指标2：促进我市经济发展，加强中俄经济交流</w:t>
            </w:r>
          </w:p>
        </w:tc>
        <w:tc>
          <w:tcPr>
            <w:tcW w:w="1325" w:type="dxa"/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</w:tc>
        <w:tc>
          <w:tcPr>
            <w:tcW w:w="1256" w:type="dxa"/>
          </w:tcPr>
          <w:p>
            <w:pPr>
              <w:pStyle w:val="39"/>
              <w:spacing w:before="91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946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3631" w:type="dxa"/>
            <w:gridSpan w:val="3"/>
            <w:vMerge w:val="restart"/>
          </w:tcPr>
          <w:p>
            <w:pPr>
              <w:pStyle w:val="39"/>
              <w:spacing w:before="11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ind w:right="1252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经济效益</w:t>
            </w:r>
          </w:p>
        </w:tc>
        <w:tc>
          <w:tcPr>
            <w:tcW w:w="2660" w:type="dxa"/>
          </w:tcPr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指标1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：增强口岸通关能力</w:t>
            </w:r>
          </w:p>
        </w:tc>
        <w:tc>
          <w:tcPr>
            <w:tcW w:w="1325" w:type="dxa"/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</w:tc>
        <w:tc>
          <w:tcPr>
            <w:tcW w:w="1256" w:type="dxa"/>
          </w:tcPr>
          <w:p>
            <w:pPr>
              <w:pStyle w:val="39"/>
              <w:spacing w:before="91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946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3631" w:type="dxa"/>
            <w:gridSpan w:val="3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2660" w:type="dxa"/>
          </w:tcPr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指标2：促进我市经济发展</w:t>
            </w:r>
          </w:p>
        </w:tc>
        <w:tc>
          <w:tcPr>
            <w:tcW w:w="1325" w:type="dxa"/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</w:tc>
        <w:tc>
          <w:tcPr>
            <w:tcW w:w="1256" w:type="dxa"/>
          </w:tcPr>
          <w:p>
            <w:pPr>
              <w:pStyle w:val="39"/>
              <w:spacing w:before="91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946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3631" w:type="dxa"/>
            <w:gridSpan w:val="3"/>
            <w:vMerge w:val="restart"/>
          </w:tcPr>
          <w:p>
            <w:pPr>
              <w:pStyle w:val="39"/>
              <w:ind w:right="1252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生态效益</w:t>
            </w:r>
          </w:p>
        </w:tc>
        <w:tc>
          <w:tcPr>
            <w:tcW w:w="2660" w:type="dxa"/>
          </w:tcPr>
          <w:p>
            <w:pPr>
              <w:pStyle w:val="39"/>
              <w:spacing w:before="92"/>
              <w:ind w:left="36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指标1</w:t>
            </w:r>
          </w:p>
        </w:tc>
        <w:tc>
          <w:tcPr>
            <w:tcW w:w="1325" w:type="dxa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256" w:type="dxa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946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3631" w:type="dxa"/>
            <w:gridSpan w:val="3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2660" w:type="dxa"/>
          </w:tcPr>
          <w:p>
            <w:pPr>
              <w:pStyle w:val="39"/>
              <w:spacing w:before="91"/>
              <w:ind w:left="36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……</w:t>
            </w:r>
          </w:p>
        </w:tc>
        <w:tc>
          <w:tcPr>
            <w:tcW w:w="1325" w:type="dxa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256" w:type="dxa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946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3631" w:type="dxa"/>
            <w:gridSpan w:val="3"/>
            <w:vMerge w:val="restart"/>
          </w:tcPr>
          <w:p>
            <w:pPr>
              <w:pStyle w:val="39"/>
              <w:ind w:right="1252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可持续发展</w:t>
            </w:r>
          </w:p>
        </w:tc>
        <w:tc>
          <w:tcPr>
            <w:tcW w:w="2660" w:type="dxa"/>
          </w:tcPr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指标1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：保障口岸安全</w:t>
            </w:r>
          </w:p>
        </w:tc>
        <w:tc>
          <w:tcPr>
            <w:tcW w:w="1325" w:type="dxa"/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</w:tc>
        <w:tc>
          <w:tcPr>
            <w:tcW w:w="1256" w:type="dxa"/>
          </w:tcPr>
          <w:p>
            <w:pPr>
              <w:pStyle w:val="39"/>
              <w:spacing w:before="91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946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3631" w:type="dxa"/>
            <w:gridSpan w:val="3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2660" w:type="dxa"/>
          </w:tcPr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指标2：稳定经济发展</w:t>
            </w:r>
          </w:p>
        </w:tc>
        <w:tc>
          <w:tcPr>
            <w:tcW w:w="1325" w:type="dxa"/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</w:tc>
        <w:tc>
          <w:tcPr>
            <w:tcW w:w="1256" w:type="dxa"/>
          </w:tcPr>
          <w:p>
            <w:pPr>
              <w:pStyle w:val="39"/>
              <w:spacing w:before="91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946" w:type="dxa"/>
            <w:vMerge w:val="restart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满意度</w:t>
            </w:r>
          </w:p>
        </w:tc>
        <w:tc>
          <w:tcPr>
            <w:tcW w:w="3631" w:type="dxa"/>
            <w:gridSpan w:val="3"/>
            <w:vMerge w:val="restart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服务对象满意度</w:t>
            </w:r>
          </w:p>
        </w:tc>
        <w:tc>
          <w:tcPr>
            <w:tcW w:w="2660" w:type="dxa"/>
          </w:tcPr>
          <w:p>
            <w:pPr>
              <w:pStyle w:val="39"/>
              <w:spacing w:before="91"/>
              <w:ind w:right="140"/>
              <w:jc w:val="both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指标1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：相关工作人员满意度</w:t>
            </w:r>
          </w:p>
        </w:tc>
        <w:tc>
          <w:tcPr>
            <w:tcW w:w="1325" w:type="dxa"/>
          </w:tcPr>
          <w:p>
            <w:pPr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</w:tc>
        <w:tc>
          <w:tcPr>
            <w:tcW w:w="1256" w:type="dxa"/>
          </w:tcPr>
          <w:p>
            <w:pPr>
              <w:pStyle w:val="39"/>
              <w:spacing w:before="91"/>
              <w:ind w:right="140"/>
              <w:jc w:val="both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946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3631" w:type="dxa"/>
            <w:gridSpan w:val="3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2660" w:type="dxa"/>
          </w:tcPr>
          <w:p>
            <w:pPr>
              <w:pStyle w:val="39"/>
              <w:spacing w:before="91"/>
              <w:ind w:left="36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指标2：商户及客户满意度</w:t>
            </w:r>
          </w:p>
        </w:tc>
        <w:tc>
          <w:tcPr>
            <w:tcW w:w="1325" w:type="dxa"/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≥50%</w:t>
            </w:r>
          </w:p>
        </w:tc>
        <w:tc>
          <w:tcPr>
            <w:tcW w:w="1256" w:type="dxa"/>
          </w:tcPr>
          <w:p>
            <w:pPr>
              <w:pStyle w:val="39"/>
              <w:spacing w:before="91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100%</w:t>
            </w:r>
          </w:p>
        </w:tc>
      </w:tr>
    </w:tbl>
    <w:p>
      <w:pPr>
        <w:sectPr>
          <w:type w:val="continuous"/>
          <w:pgSz w:w="11910" w:h="16840"/>
          <w:pgMar w:top="1580" w:right="940" w:bottom="280" w:left="920" w:header="720" w:footer="720" w:gutter="0"/>
          <w:pgNumType w:fmt="numberInDash"/>
          <w:cols w:space="720" w:num="1"/>
        </w:sectPr>
      </w:pPr>
    </w:p>
    <w:p>
      <w:pPr>
        <w:pStyle w:val="12"/>
        <w:spacing w:after="0" w:line="740" w:lineRule="exact"/>
        <w:ind w:left="11" w:right="91" w:hanging="11"/>
        <w:jc w:val="center"/>
        <w:rPr>
          <w:rFonts w:ascii="方正小标宋简体" w:hAnsi="华文中宋" w:eastAsia="方正小标宋简体" w:cs="宋体"/>
          <w:bCs/>
          <w:spacing w:val="20"/>
          <w:sz w:val="44"/>
          <w:szCs w:val="44"/>
        </w:rPr>
      </w:pPr>
      <w:r>
        <w:rPr>
          <w:rFonts w:hint="eastAsia" w:ascii="方正小标宋简体" w:hAnsi="华文中宋" w:eastAsia="方正小标宋简体" w:cs="宋体"/>
          <w:bCs/>
          <w:spacing w:val="20"/>
          <w:sz w:val="44"/>
          <w:szCs w:val="44"/>
        </w:rPr>
        <w:t>项目预算绩效目标表</w:t>
      </w:r>
    </w:p>
    <w:p>
      <w:pPr>
        <w:pStyle w:val="12"/>
        <w:spacing w:before="2"/>
        <w:ind w:firstLine="120"/>
        <w:jc w:val="center"/>
        <w:rPr>
          <w:rFonts w:ascii="宋体"/>
          <w:sz w:val="6"/>
        </w:rPr>
      </w:pPr>
      <w:r>
        <w:rPr>
          <w:rFonts w:hint="eastAsia" w:ascii="方正楷体简体" w:hAnsi="方正楷体简体" w:eastAsia="方正楷体简体" w:cs="方正楷体简体"/>
          <w:sz w:val="32"/>
          <w:szCs w:val="40"/>
        </w:rPr>
        <w:t xml:space="preserve">（ </w:t>
      </w:r>
      <w:r>
        <w:rPr>
          <w:rFonts w:hint="eastAsia" w:ascii="方正楷体简体" w:hAnsi="方正楷体简体" w:eastAsia="方正楷体简体" w:cs="方正楷体简体"/>
          <w:sz w:val="32"/>
          <w:szCs w:val="40"/>
          <w:lang w:val="en-US" w:eastAsia="zh-CN"/>
        </w:rPr>
        <w:t>2021</w:t>
      </w:r>
      <w:r>
        <w:rPr>
          <w:rFonts w:hint="eastAsia" w:ascii="方正楷体简体" w:hAnsi="方正楷体简体" w:eastAsia="方正楷体简体" w:cs="方正楷体简体"/>
          <w:sz w:val="32"/>
          <w:szCs w:val="40"/>
        </w:rPr>
        <w:t>年度）</w:t>
      </w:r>
    </w:p>
    <w:tbl>
      <w:tblPr>
        <w:tblStyle w:val="22"/>
        <w:tblW w:w="9496" w:type="dxa"/>
        <w:tblInd w:w="12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04"/>
        <w:gridCol w:w="1393"/>
        <w:gridCol w:w="2864"/>
        <w:gridCol w:w="1633"/>
        <w:gridCol w:w="1702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8" w:hRule="atLeast"/>
        </w:trPr>
        <w:tc>
          <w:tcPr>
            <w:tcW w:w="1904" w:type="dxa"/>
          </w:tcPr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项目名称</w:t>
            </w:r>
          </w:p>
        </w:tc>
        <w:tc>
          <w:tcPr>
            <w:tcW w:w="4257" w:type="dxa"/>
            <w:gridSpan w:val="2"/>
          </w:tcPr>
          <w:p>
            <w:pPr>
              <w:pStyle w:val="39"/>
              <w:spacing w:before="84"/>
              <w:ind w:left="525"/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2021年额尔古纳市人民政府外事办公室专项资金</w:t>
            </w:r>
          </w:p>
        </w:tc>
        <w:tc>
          <w:tcPr>
            <w:tcW w:w="1633" w:type="dxa"/>
          </w:tcPr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资金总额</w:t>
            </w:r>
          </w:p>
        </w:tc>
        <w:tc>
          <w:tcPr>
            <w:tcW w:w="1702" w:type="dxa"/>
          </w:tcPr>
          <w:p>
            <w:pPr>
              <w:pStyle w:val="39"/>
              <w:spacing w:before="84"/>
              <w:ind w:left="525"/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711.09万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8" w:hRule="atLeast"/>
        </w:trPr>
        <w:tc>
          <w:tcPr>
            <w:tcW w:w="1904" w:type="dxa"/>
          </w:tcPr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开始时间</w:t>
            </w:r>
          </w:p>
        </w:tc>
        <w:tc>
          <w:tcPr>
            <w:tcW w:w="4257" w:type="dxa"/>
            <w:gridSpan w:val="2"/>
          </w:tcPr>
          <w:p>
            <w:pPr>
              <w:pStyle w:val="39"/>
              <w:spacing w:before="84"/>
              <w:ind w:left="525"/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2021年1月</w:t>
            </w:r>
          </w:p>
        </w:tc>
        <w:tc>
          <w:tcPr>
            <w:tcW w:w="1633" w:type="dxa"/>
          </w:tcPr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完成时间</w:t>
            </w:r>
          </w:p>
        </w:tc>
        <w:tc>
          <w:tcPr>
            <w:tcW w:w="1702" w:type="dxa"/>
          </w:tcPr>
          <w:p>
            <w:pPr>
              <w:pStyle w:val="39"/>
              <w:spacing w:before="84"/>
              <w:ind w:left="525"/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2021年12月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1904" w:type="dxa"/>
          </w:tcPr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一级指标</w:t>
            </w:r>
          </w:p>
        </w:tc>
        <w:tc>
          <w:tcPr>
            <w:tcW w:w="1393" w:type="dxa"/>
          </w:tcPr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二级指标</w:t>
            </w:r>
          </w:p>
        </w:tc>
        <w:tc>
          <w:tcPr>
            <w:tcW w:w="2864" w:type="dxa"/>
          </w:tcPr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三级指标</w:t>
            </w:r>
          </w:p>
        </w:tc>
        <w:tc>
          <w:tcPr>
            <w:tcW w:w="1633" w:type="dxa"/>
          </w:tcPr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半年（程）指标值</w:t>
            </w:r>
          </w:p>
        </w:tc>
        <w:tc>
          <w:tcPr>
            <w:tcW w:w="1702" w:type="dxa"/>
          </w:tcPr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全年（程）指标值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904" w:type="dxa"/>
            <w:vMerge w:val="restart"/>
          </w:tcPr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sz w:val="21"/>
              </w:rPr>
            </w:pPr>
          </w:p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sz w:val="21"/>
              </w:rPr>
            </w:pPr>
          </w:p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sz w:val="21"/>
              </w:rPr>
            </w:pPr>
          </w:p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sz w:val="21"/>
              </w:rPr>
            </w:pPr>
          </w:p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sz w:val="21"/>
              </w:rPr>
            </w:pPr>
          </w:p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sz w:val="21"/>
              </w:rPr>
            </w:pPr>
          </w:p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sz w:val="21"/>
              </w:rPr>
            </w:pPr>
          </w:p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产出</w:t>
            </w:r>
          </w:p>
        </w:tc>
        <w:tc>
          <w:tcPr>
            <w:tcW w:w="1393" w:type="dxa"/>
            <w:vMerge w:val="restart"/>
          </w:tcPr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sz w:val="21"/>
              </w:rPr>
            </w:pPr>
          </w:p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数量指标</w:t>
            </w:r>
          </w:p>
        </w:tc>
        <w:tc>
          <w:tcPr>
            <w:tcW w:w="2864" w:type="dxa"/>
          </w:tcPr>
          <w:p>
            <w:pPr>
              <w:pStyle w:val="39"/>
              <w:spacing w:before="84"/>
              <w:rPr>
                <w:rFonts w:ascii="Times New Roman" w:hAnsi="Times New Roman" w:eastAsia="仿宋" w:cs="Times New Roman"/>
                <w:sz w:val="21"/>
              </w:rPr>
            </w:pPr>
            <w:r>
              <w:rPr>
                <w:rFonts w:ascii="Times New Roman" w:hAnsi="Times New Roman" w:eastAsia="仿宋" w:cs="Times New Roman"/>
                <w:sz w:val="21"/>
              </w:rPr>
              <w:t>指标1：</w:t>
            </w: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检查、参加会议、汇报工作</w:t>
            </w:r>
          </w:p>
        </w:tc>
        <w:tc>
          <w:tcPr>
            <w:tcW w:w="1633" w:type="dxa"/>
            <w:vAlign w:val="center"/>
          </w:tcPr>
          <w:p>
            <w:pPr>
              <w:jc w:val="center"/>
              <w:textAlignment w:val="center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198次</w:t>
            </w:r>
          </w:p>
        </w:tc>
        <w:tc>
          <w:tcPr>
            <w:tcW w:w="1702" w:type="dxa"/>
          </w:tcPr>
          <w:p>
            <w:pPr>
              <w:pStyle w:val="39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</w:p>
          <w:p>
            <w:pPr>
              <w:pStyle w:val="39"/>
              <w:ind w:firstLine="630" w:firstLineChars="300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394次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904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393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2864" w:type="dxa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指标2：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组织对俄视频会议</w:t>
            </w:r>
          </w:p>
        </w:tc>
        <w:tc>
          <w:tcPr>
            <w:tcW w:w="1633" w:type="dxa"/>
            <w:vAlign w:val="center"/>
          </w:tcPr>
          <w:p>
            <w:pPr>
              <w:jc w:val="center"/>
              <w:textAlignment w:val="center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1次</w:t>
            </w:r>
          </w:p>
        </w:tc>
        <w:tc>
          <w:tcPr>
            <w:tcW w:w="1702" w:type="dxa"/>
          </w:tcPr>
          <w:p>
            <w:pPr>
              <w:pStyle w:val="39"/>
              <w:ind w:firstLine="630" w:firstLineChars="30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1次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904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393" w:type="dxa"/>
            <w:vMerge w:val="restart"/>
          </w:tcPr>
          <w:p>
            <w:pPr>
              <w:pStyle w:val="39"/>
              <w:spacing w:before="12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1"/>
              <w:ind w:left="263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质量指标</w:t>
            </w:r>
          </w:p>
        </w:tc>
        <w:tc>
          <w:tcPr>
            <w:tcW w:w="2864" w:type="dxa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指标1：</w:t>
            </w:r>
            <w:r>
              <w:rPr>
                <w:rFonts w:hint="default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配备齐全</w:t>
            </w:r>
            <w:r>
              <w:rPr>
                <w:rFonts w:hint="default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监控</w:t>
            </w:r>
            <w:r>
              <w:rPr>
                <w:rFonts w:hint="default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配套设施设备</w:t>
            </w:r>
            <w:r>
              <w:rPr>
                <w:rFonts w:hint="default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且安装调试合格。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保证口岸运转工作质量.口岸后勤及设施维护情况.</w:t>
            </w:r>
          </w:p>
        </w:tc>
        <w:tc>
          <w:tcPr>
            <w:tcW w:w="1633" w:type="dxa"/>
          </w:tcPr>
          <w:p>
            <w:pPr>
              <w:pStyle w:val="39"/>
              <w:spacing w:before="137"/>
              <w:ind w:left="518" w:firstLine="210" w:firstLineChars="100"/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≥50%</w:t>
            </w:r>
          </w:p>
        </w:tc>
        <w:tc>
          <w:tcPr>
            <w:tcW w:w="1702" w:type="dxa"/>
          </w:tcPr>
          <w:p>
            <w:pPr>
              <w:pStyle w:val="39"/>
              <w:spacing w:before="137"/>
              <w:ind w:left="518"/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904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393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2864" w:type="dxa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指标2：</w:t>
            </w:r>
            <w:r>
              <w:rPr>
                <w:rFonts w:hint="default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保证施工质量。</w:t>
            </w:r>
          </w:p>
        </w:tc>
        <w:tc>
          <w:tcPr>
            <w:tcW w:w="1633" w:type="dxa"/>
            <w:vAlign w:val="top"/>
          </w:tcPr>
          <w:p>
            <w:pPr>
              <w:pStyle w:val="39"/>
              <w:spacing w:before="137"/>
              <w:ind w:left="518" w:leftChars="0" w:firstLine="210" w:firstLineChars="100"/>
              <w:rPr>
                <w:rFonts w:ascii="Times New Roman" w:hAnsi="Times New Roman" w:eastAsia="仿宋" w:cs="Times New Roman"/>
                <w:sz w:val="21"/>
                <w:lang w:val="en-US" w:eastAsia="en-US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≥50%</w:t>
            </w:r>
          </w:p>
        </w:tc>
        <w:tc>
          <w:tcPr>
            <w:tcW w:w="1702" w:type="dxa"/>
            <w:vAlign w:val="top"/>
          </w:tcPr>
          <w:p>
            <w:pPr>
              <w:pStyle w:val="39"/>
              <w:spacing w:before="137"/>
              <w:ind w:left="518" w:leftChars="0"/>
              <w:rPr>
                <w:rFonts w:ascii="Times New Roman" w:hAnsi="Times New Roman" w:eastAsia="仿宋" w:cs="Times New Roman"/>
                <w:sz w:val="21"/>
                <w:lang w:val="en-US" w:eastAsia="en-US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904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393" w:type="dxa"/>
            <w:vMerge w:val="restart"/>
          </w:tcPr>
          <w:p>
            <w:pPr>
              <w:pStyle w:val="39"/>
              <w:spacing w:before="12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1"/>
              <w:ind w:left="263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时效指标</w:t>
            </w:r>
          </w:p>
        </w:tc>
        <w:tc>
          <w:tcPr>
            <w:tcW w:w="2864" w:type="dxa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指标1：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按时完工。按规定使用资金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.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如期举行。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工作处理及时度</w:t>
            </w:r>
          </w:p>
        </w:tc>
        <w:tc>
          <w:tcPr>
            <w:tcW w:w="1633" w:type="dxa"/>
            <w:vAlign w:val="top"/>
          </w:tcPr>
          <w:p>
            <w:pPr>
              <w:pStyle w:val="39"/>
              <w:spacing w:before="137"/>
              <w:ind w:left="518" w:leftChars="0" w:firstLine="210" w:firstLineChars="100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≥50%</w:t>
            </w:r>
          </w:p>
        </w:tc>
        <w:tc>
          <w:tcPr>
            <w:tcW w:w="1702" w:type="dxa"/>
            <w:vAlign w:val="top"/>
          </w:tcPr>
          <w:p>
            <w:pPr>
              <w:pStyle w:val="39"/>
              <w:spacing w:before="137"/>
              <w:ind w:left="518" w:leftChars="0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904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393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2864" w:type="dxa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指标2：</w:t>
            </w:r>
          </w:p>
        </w:tc>
        <w:tc>
          <w:tcPr>
            <w:tcW w:w="1633" w:type="dxa"/>
          </w:tcPr>
          <w:p>
            <w:pPr>
              <w:pStyle w:val="39"/>
              <w:spacing w:before="137"/>
              <w:ind w:left="518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702" w:type="dxa"/>
          </w:tcPr>
          <w:p>
            <w:pPr>
              <w:pStyle w:val="39"/>
              <w:spacing w:before="137"/>
              <w:ind w:left="518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904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393" w:type="dxa"/>
            <w:vMerge w:val="restart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ind w:left="263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成本指标</w:t>
            </w:r>
          </w:p>
        </w:tc>
        <w:tc>
          <w:tcPr>
            <w:tcW w:w="2864" w:type="dxa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指标1：</w:t>
            </w:r>
          </w:p>
        </w:tc>
        <w:tc>
          <w:tcPr>
            <w:tcW w:w="1633" w:type="dxa"/>
          </w:tcPr>
          <w:p>
            <w:pPr>
              <w:pStyle w:val="39"/>
              <w:spacing w:before="137"/>
              <w:ind w:left="518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702" w:type="dxa"/>
          </w:tcPr>
          <w:p>
            <w:pPr>
              <w:pStyle w:val="39"/>
              <w:spacing w:before="137"/>
              <w:ind w:left="518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904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393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2864" w:type="dxa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指标2：</w:t>
            </w:r>
          </w:p>
        </w:tc>
        <w:tc>
          <w:tcPr>
            <w:tcW w:w="1633" w:type="dxa"/>
          </w:tcPr>
          <w:p>
            <w:pPr>
              <w:pStyle w:val="39"/>
              <w:spacing w:before="137"/>
              <w:ind w:left="518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702" w:type="dxa"/>
          </w:tcPr>
          <w:p>
            <w:pPr>
              <w:pStyle w:val="39"/>
              <w:spacing w:before="137"/>
              <w:ind w:left="518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904" w:type="dxa"/>
            <w:vMerge w:val="restart"/>
          </w:tcPr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效益</w:t>
            </w:r>
          </w:p>
        </w:tc>
        <w:tc>
          <w:tcPr>
            <w:tcW w:w="1393" w:type="dxa"/>
            <w:vMerge w:val="restart"/>
          </w:tcPr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社会效益</w:t>
            </w:r>
          </w:p>
        </w:tc>
        <w:tc>
          <w:tcPr>
            <w:tcW w:w="2864" w:type="dxa"/>
          </w:tcPr>
          <w:p>
            <w:pPr>
              <w:pStyle w:val="39"/>
              <w:spacing w:before="84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指标1：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提升口岸功能，完善口岸基础设施。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增进党务宣传工作。开展安全、口岸检查加强对社会安全活动监督.</w:t>
            </w:r>
          </w:p>
        </w:tc>
        <w:tc>
          <w:tcPr>
            <w:tcW w:w="1633" w:type="dxa"/>
            <w:vAlign w:val="top"/>
          </w:tcPr>
          <w:p>
            <w:pPr>
              <w:pStyle w:val="39"/>
              <w:spacing w:before="137"/>
              <w:ind w:left="518" w:leftChars="0" w:firstLine="210" w:firstLineChars="10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≥50%</w:t>
            </w:r>
          </w:p>
        </w:tc>
        <w:tc>
          <w:tcPr>
            <w:tcW w:w="1702" w:type="dxa"/>
            <w:vAlign w:val="top"/>
          </w:tcPr>
          <w:p>
            <w:pPr>
              <w:pStyle w:val="39"/>
              <w:spacing w:before="137"/>
              <w:ind w:left="518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904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393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2864" w:type="dxa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指标2：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开展安全、口岸检查加强对社会安全活动监督.促进品牌宣传，展示我市经济发展成就。有利于对外工作的开展，促进对外交流等工作.</w:t>
            </w:r>
          </w:p>
        </w:tc>
        <w:tc>
          <w:tcPr>
            <w:tcW w:w="1633" w:type="dxa"/>
            <w:vAlign w:val="top"/>
          </w:tcPr>
          <w:p>
            <w:pPr>
              <w:pStyle w:val="39"/>
              <w:spacing w:before="137"/>
              <w:ind w:left="518" w:leftChars="0" w:firstLine="210" w:firstLineChars="100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≥50%</w:t>
            </w:r>
          </w:p>
        </w:tc>
        <w:tc>
          <w:tcPr>
            <w:tcW w:w="1702" w:type="dxa"/>
            <w:vAlign w:val="top"/>
          </w:tcPr>
          <w:p>
            <w:pPr>
              <w:pStyle w:val="39"/>
              <w:spacing w:before="137"/>
              <w:ind w:left="518" w:leftChars="0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904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393" w:type="dxa"/>
            <w:vMerge w:val="restart"/>
          </w:tcPr>
          <w:p>
            <w:pPr>
              <w:pStyle w:val="39"/>
              <w:spacing w:before="12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1"/>
              <w:ind w:left="263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经济效益</w:t>
            </w:r>
          </w:p>
        </w:tc>
        <w:tc>
          <w:tcPr>
            <w:tcW w:w="2864" w:type="dxa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指标1：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畅通货物运输。优化人员配置，提升行动速率，降低国家及人民群众财产损失。取得了较好的品牌宣传效果。促进口岸流通工作。</w:t>
            </w:r>
          </w:p>
        </w:tc>
        <w:tc>
          <w:tcPr>
            <w:tcW w:w="1633" w:type="dxa"/>
            <w:vAlign w:val="top"/>
          </w:tcPr>
          <w:p>
            <w:pPr>
              <w:pStyle w:val="39"/>
              <w:spacing w:before="137"/>
              <w:ind w:left="518" w:leftChars="0" w:firstLine="210" w:firstLineChars="100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≥50%</w:t>
            </w:r>
          </w:p>
        </w:tc>
        <w:tc>
          <w:tcPr>
            <w:tcW w:w="1702" w:type="dxa"/>
            <w:vAlign w:val="top"/>
          </w:tcPr>
          <w:p>
            <w:pPr>
              <w:pStyle w:val="39"/>
              <w:spacing w:before="137"/>
              <w:ind w:left="518" w:leftChars="0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904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393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2864" w:type="dxa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指标2：</w:t>
            </w:r>
          </w:p>
        </w:tc>
        <w:tc>
          <w:tcPr>
            <w:tcW w:w="1633" w:type="dxa"/>
          </w:tcPr>
          <w:p>
            <w:pPr>
              <w:pStyle w:val="39"/>
              <w:spacing w:before="137"/>
              <w:ind w:left="518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702" w:type="dxa"/>
          </w:tcPr>
          <w:p>
            <w:pPr>
              <w:pStyle w:val="39"/>
              <w:spacing w:before="137"/>
              <w:ind w:left="518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904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393" w:type="dxa"/>
            <w:vMerge w:val="restart"/>
          </w:tcPr>
          <w:p>
            <w:pPr>
              <w:pStyle w:val="39"/>
              <w:spacing w:before="12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1"/>
              <w:ind w:left="263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生态效益</w:t>
            </w:r>
          </w:p>
        </w:tc>
        <w:tc>
          <w:tcPr>
            <w:tcW w:w="2864" w:type="dxa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指标1：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推动中俄蒙三国毗邻地区经贸合作和文化交流。</w:t>
            </w:r>
          </w:p>
        </w:tc>
        <w:tc>
          <w:tcPr>
            <w:tcW w:w="1633" w:type="dxa"/>
            <w:vAlign w:val="top"/>
          </w:tcPr>
          <w:p>
            <w:pPr>
              <w:pStyle w:val="39"/>
              <w:spacing w:before="137"/>
              <w:ind w:left="518" w:leftChars="0" w:firstLine="210" w:firstLineChars="100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≥50%</w:t>
            </w:r>
          </w:p>
        </w:tc>
        <w:tc>
          <w:tcPr>
            <w:tcW w:w="1702" w:type="dxa"/>
            <w:vAlign w:val="top"/>
          </w:tcPr>
          <w:p>
            <w:pPr>
              <w:pStyle w:val="39"/>
              <w:spacing w:before="137"/>
              <w:ind w:left="518" w:leftChars="0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904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393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2864" w:type="dxa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指标2：</w:t>
            </w:r>
          </w:p>
        </w:tc>
        <w:tc>
          <w:tcPr>
            <w:tcW w:w="1633" w:type="dxa"/>
          </w:tcPr>
          <w:p>
            <w:pPr>
              <w:pStyle w:val="39"/>
              <w:spacing w:before="137"/>
              <w:ind w:left="518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702" w:type="dxa"/>
          </w:tcPr>
          <w:p>
            <w:pPr>
              <w:pStyle w:val="39"/>
              <w:spacing w:before="137"/>
              <w:ind w:left="518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 w:hRule="atLeast"/>
        </w:trPr>
        <w:tc>
          <w:tcPr>
            <w:tcW w:w="1904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393" w:type="dxa"/>
            <w:vMerge w:val="restart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ind w:left="155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可持续发展</w:t>
            </w:r>
          </w:p>
        </w:tc>
        <w:tc>
          <w:tcPr>
            <w:tcW w:w="2864" w:type="dxa"/>
          </w:tcPr>
          <w:p>
            <w:pPr>
              <w:spacing w:beforeLines="0" w:afterLines="0" w:line="240" w:lineRule="exact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指标1：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保障口岸安全。保障日常工作，无工作停滞情</w:t>
            </w:r>
          </w:p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况</w:t>
            </w:r>
          </w:p>
        </w:tc>
        <w:tc>
          <w:tcPr>
            <w:tcW w:w="1633" w:type="dxa"/>
            <w:vAlign w:val="top"/>
          </w:tcPr>
          <w:p>
            <w:pPr>
              <w:pStyle w:val="39"/>
              <w:spacing w:before="137"/>
              <w:ind w:left="518" w:leftChars="0" w:firstLine="210" w:firstLineChars="10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≥50%</w:t>
            </w:r>
          </w:p>
        </w:tc>
        <w:tc>
          <w:tcPr>
            <w:tcW w:w="1702" w:type="dxa"/>
            <w:vAlign w:val="top"/>
          </w:tcPr>
          <w:p>
            <w:pPr>
              <w:pStyle w:val="39"/>
              <w:spacing w:before="137"/>
              <w:ind w:left="518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904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393" w:type="dxa"/>
            <w:vMerge w:val="continue"/>
            <w:tcBorders>
              <w:top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2864" w:type="dxa"/>
          </w:tcPr>
          <w:p>
            <w:pPr>
              <w:pStyle w:val="39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指标2：</w:t>
            </w:r>
          </w:p>
        </w:tc>
        <w:tc>
          <w:tcPr>
            <w:tcW w:w="1633" w:type="dxa"/>
          </w:tcPr>
          <w:p>
            <w:pPr>
              <w:pStyle w:val="39"/>
              <w:spacing w:before="137"/>
              <w:ind w:left="518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702" w:type="dxa"/>
          </w:tcPr>
          <w:p>
            <w:pPr>
              <w:pStyle w:val="39"/>
              <w:spacing w:before="137"/>
              <w:ind w:left="518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904" w:type="dxa"/>
            <w:vMerge w:val="restart"/>
          </w:tcPr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满意度</w:t>
            </w:r>
          </w:p>
        </w:tc>
        <w:tc>
          <w:tcPr>
            <w:tcW w:w="1393" w:type="dxa"/>
            <w:vMerge w:val="restart"/>
          </w:tcPr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  <w:p>
            <w:pPr>
              <w:pStyle w:val="39"/>
              <w:spacing w:before="84"/>
              <w:ind w:left="525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服务对象满意度</w:t>
            </w:r>
          </w:p>
        </w:tc>
        <w:tc>
          <w:tcPr>
            <w:tcW w:w="2864" w:type="dxa"/>
          </w:tcPr>
          <w:p>
            <w:pPr>
              <w:pStyle w:val="39"/>
              <w:spacing w:before="84"/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指标1：</w:t>
            </w:r>
            <w:r>
              <w:rPr>
                <w:rFonts w:hint="default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主管部门满意度</w:t>
            </w:r>
          </w:p>
        </w:tc>
        <w:tc>
          <w:tcPr>
            <w:tcW w:w="1633" w:type="dxa"/>
            <w:vAlign w:val="top"/>
          </w:tcPr>
          <w:p>
            <w:pPr>
              <w:pStyle w:val="39"/>
              <w:spacing w:before="137"/>
              <w:ind w:left="518" w:leftChars="0" w:firstLine="210" w:firstLineChars="10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≥50%</w:t>
            </w:r>
          </w:p>
        </w:tc>
        <w:tc>
          <w:tcPr>
            <w:tcW w:w="1702" w:type="dxa"/>
            <w:vAlign w:val="top"/>
          </w:tcPr>
          <w:p>
            <w:pPr>
              <w:pStyle w:val="39"/>
              <w:spacing w:before="137"/>
              <w:ind w:left="518" w:leftChars="0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904" w:type="dxa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1393" w:type="dxa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</w:pPr>
          </w:p>
        </w:tc>
        <w:tc>
          <w:tcPr>
            <w:tcW w:w="2864" w:type="dxa"/>
          </w:tcPr>
          <w:p>
            <w:pPr>
              <w:pStyle w:val="39"/>
              <w:spacing w:before="12"/>
              <w:ind w:left="34"/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指标2：</w:t>
            </w:r>
            <w:r>
              <w:rPr>
                <w:rFonts w:hint="default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相关工作人员</w:t>
            </w:r>
            <w:r>
              <w:rPr>
                <w:rFonts w:hint="default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满意度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.</w:t>
            </w:r>
            <w:r>
              <w:rPr>
                <w:rFonts w:hint="default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为党务人员工作满意程度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.</w:t>
            </w:r>
            <w:r>
              <w:rPr>
                <w:rFonts w:hint="default" w:ascii="Times New Roman" w:hAnsi="Times New Roman" w:eastAsia="仿宋" w:cs="Times New Roman"/>
                <w:kern w:val="0"/>
                <w:sz w:val="21"/>
                <w:szCs w:val="22"/>
                <w:lang w:val="en-US" w:eastAsia="en-US" w:bidi="ar-SA"/>
              </w:rPr>
              <w:t>服务对象，包括外贸内贸企业、海关边检人员等满意程度</w:t>
            </w:r>
            <w:r>
              <w:rPr>
                <w:rFonts w:hint="eastAsia" w:ascii="Times New Roman" w:hAnsi="Times New Roman" w:eastAsia="仿宋" w:cs="Times New Roman"/>
                <w:kern w:val="0"/>
                <w:sz w:val="21"/>
                <w:szCs w:val="22"/>
                <w:lang w:val="en-US" w:eastAsia="zh-CN" w:bidi="ar-SA"/>
              </w:rPr>
              <w:t>.</w:t>
            </w:r>
          </w:p>
        </w:tc>
        <w:tc>
          <w:tcPr>
            <w:tcW w:w="1633" w:type="dxa"/>
            <w:vAlign w:val="top"/>
          </w:tcPr>
          <w:p>
            <w:pPr>
              <w:pStyle w:val="39"/>
              <w:spacing w:before="137"/>
              <w:ind w:left="518" w:leftChars="0" w:firstLine="210" w:firstLineChars="100"/>
              <w:rPr>
                <w:rFonts w:ascii="Times New Roman" w:hAnsi="Times New Roman" w:eastAsia="仿宋" w:cs="Times New Roma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≥50%</w:t>
            </w:r>
          </w:p>
        </w:tc>
        <w:tc>
          <w:tcPr>
            <w:tcW w:w="1702" w:type="dxa"/>
            <w:vAlign w:val="top"/>
          </w:tcPr>
          <w:p>
            <w:pPr>
              <w:pStyle w:val="39"/>
              <w:spacing w:before="137"/>
              <w:ind w:left="518" w:leftChars="0"/>
              <w:rPr>
                <w:rFonts w:ascii="Times New Roman" w:hAnsi="Times New Roman" w:eastAsia="仿宋" w:cs="Times New Roma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lang w:val="en-US" w:eastAsia="zh-CN"/>
              </w:rPr>
              <w:t>100%</w:t>
            </w:r>
          </w:p>
        </w:tc>
      </w:tr>
    </w:tbl>
    <w:p/>
    <w:p/>
    <w:p/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/>
    <w:tbl>
      <w:tblPr>
        <w:tblStyle w:val="22"/>
        <w:tblW w:w="91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655"/>
        <w:gridCol w:w="305"/>
        <w:gridCol w:w="1298"/>
        <w:gridCol w:w="22"/>
        <w:gridCol w:w="1007"/>
        <w:gridCol w:w="251"/>
        <w:gridCol w:w="897"/>
        <w:gridCol w:w="660"/>
        <w:gridCol w:w="585"/>
        <w:gridCol w:w="69"/>
        <w:gridCol w:w="394"/>
        <w:gridCol w:w="236"/>
        <w:gridCol w:w="923"/>
        <w:gridCol w:w="100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914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方正小标宋简体" w:hAnsi="华文中宋" w:eastAsia="方正小标宋简体" w:cs="宋体"/>
                <w:bCs/>
                <w:sz w:val="44"/>
                <w:szCs w:val="44"/>
              </w:rPr>
            </w:pPr>
            <w:r>
              <w:rPr>
                <w:rFonts w:hint="eastAsia" w:ascii="方正小标宋简体" w:hAnsi="华文中宋" w:eastAsia="方正小标宋简体" w:cs="宋体"/>
                <w:bCs/>
                <w:spacing w:val="20"/>
                <w:sz w:val="44"/>
                <w:szCs w:val="44"/>
              </w:rPr>
              <w:t>项目支出绩效自评表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  <w:jc w:val="center"/>
        </w:trPr>
        <w:tc>
          <w:tcPr>
            <w:tcW w:w="914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400" w:lineRule="exact"/>
              <w:jc w:val="center"/>
              <w:rPr>
                <w:rFonts w:ascii="楷体_GB2312" w:hAnsi="宋体" w:eastAsia="楷体_GB2312" w:cs="宋体"/>
              </w:rPr>
            </w:pPr>
            <w:r>
              <w:rPr>
                <w:rFonts w:hint="eastAsia" w:ascii="方正楷体简体" w:hAnsi="方正楷体简体" w:eastAsia="方正楷体简体" w:cs="方正楷体简体"/>
                <w:sz w:val="32"/>
                <w:szCs w:val="40"/>
              </w:rPr>
              <w:t xml:space="preserve">（   </w:t>
            </w:r>
            <w:r>
              <w:rPr>
                <w:rFonts w:hint="eastAsia" w:ascii="方正楷体简体" w:hAnsi="方正楷体简体" w:eastAsia="方正楷体简体" w:cs="方正楷体简体"/>
                <w:sz w:val="32"/>
                <w:szCs w:val="40"/>
                <w:lang w:val="en-US" w:eastAsia="zh-CN"/>
              </w:rPr>
              <w:t>2021</w:t>
            </w:r>
            <w:r>
              <w:rPr>
                <w:rFonts w:hint="eastAsia" w:ascii="方正楷体简体" w:hAnsi="方正楷体简体" w:eastAsia="方正楷体简体" w:cs="方正楷体简体"/>
                <w:sz w:val="32"/>
                <w:szCs w:val="40"/>
              </w:rPr>
              <w:t xml:space="preserve"> 年度）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项目名称</w:t>
            </w:r>
          </w:p>
        </w:tc>
        <w:tc>
          <w:tcPr>
            <w:tcW w:w="7649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口岸基础设施建设补助资金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主管部门及代码</w:t>
            </w:r>
          </w:p>
        </w:tc>
        <w:tc>
          <w:tcPr>
            <w:tcW w:w="378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额尔古纳市人民政府　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实施单位</w:t>
            </w:r>
          </w:p>
        </w:tc>
        <w:tc>
          <w:tcPr>
            <w:tcW w:w="262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eastAsia="zh-CN"/>
              </w:rPr>
              <w:t>额尔古纳市人民政府外事办公室</w:t>
            </w: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项目资金</w:t>
            </w:r>
            <w:r>
              <w:rPr>
                <w:rFonts w:hint="eastAsia" w:ascii="宋体" w:hAnsi="宋体" w:cs="宋体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sz w:val="18"/>
                <w:szCs w:val="18"/>
              </w:rPr>
              <w:t>（万元）</w:t>
            </w: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年初预算数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全年预算数</w:t>
            </w:r>
            <w:bookmarkStart w:id="0" w:name="_GoBack"/>
            <w:bookmarkEnd w:id="0"/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全年执行数</w:t>
            </w:r>
          </w:p>
        </w:tc>
        <w:tc>
          <w:tcPr>
            <w:tcW w:w="46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分值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执行率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得分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  <w:jc w:val="center"/>
        </w:trPr>
        <w:tc>
          <w:tcPr>
            <w:tcW w:w="149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年度资金总额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1890000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1890000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46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其中：财政拨款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1890000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1890000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46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exact"/>
          <w:jc w:val="center"/>
        </w:trPr>
        <w:tc>
          <w:tcPr>
            <w:tcW w:w="149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 xml:space="preserve">     其他资金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-</w:t>
            </w:r>
          </w:p>
        </w:tc>
        <w:tc>
          <w:tcPr>
            <w:tcW w:w="46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-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—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年度总体目标</w:t>
            </w:r>
          </w:p>
        </w:tc>
        <w:tc>
          <w:tcPr>
            <w:tcW w:w="4435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预期目标</w:t>
            </w:r>
          </w:p>
        </w:tc>
        <w:tc>
          <w:tcPr>
            <w:tcW w:w="386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实际完成情况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" w:hRule="atLeas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4435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完善口岸周界防护设施设备，保障口岸安全及供暖需求。　</w:t>
            </w:r>
          </w:p>
        </w:tc>
        <w:tc>
          <w:tcPr>
            <w:tcW w:w="386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完善口岸周界防护设施设备，保障口岸安全及供暖需求。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5" w:hRule="atLeast"/>
          <w:jc w:val="center"/>
        </w:trPr>
        <w:tc>
          <w:tcPr>
            <w:tcW w:w="84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绩  效  指  标（90）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一级指标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二级指标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三级指标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年度指标值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实际完成值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分值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得分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偏差原因分析及改进措施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产出指标（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sz w:val="18"/>
                <w:szCs w:val="18"/>
              </w:rPr>
              <w:t>）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数量指标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质量指标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指标1：配备齐全</w:t>
            </w: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监控</w:t>
            </w:r>
            <w:r>
              <w:rPr>
                <w:rFonts w:hint="eastAsia" w:ascii="宋体" w:hAnsi="宋体" w:eastAsia="Courier New" w:cs="宋体"/>
                <w:sz w:val="18"/>
                <w:szCs w:val="18"/>
              </w:rPr>
              <w:t>配套设施设备</w:t>
            </w: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且安装调试合格。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≧100%</w:t>
            </w: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指标2:</w:t>
            </w: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保证施工质量。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≧100%</w:t>
            </w: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时效指标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指标1：按时完工。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6"/>
                <w:lang w:val="en-US" w:eastAsia="zh-CN"/>
              </w:rPr>
              <w:t>≦1天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成本指标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效益指标（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40</w:t>
            </w:r>
            <w:r>
              <w:rPr>
                <w:rFonts w:hint="eastAsia" w:ascii="宋体" w:hAnsi="宋体" w:cs="宋体"/>
                <w:sz w:val="18"/>
                <w:szCs w:val="18"/>
              </w:rPr>
              <w:t>）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经济效益指标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社会效益指标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指标1提升口岸功能，完善口岸基础设施。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优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生态效益指标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可持续影响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指    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指标1:保障口岸安全。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优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满意度</w:t>
            </w:r>
          </w:p>
          <w:p>
            <w:pPr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指  标（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20</w:t>
            </w:r>
            <w:r>
              <w:rPr>
                <w:rFonts w:hint="eastAsia" w:ascii="宋体" w:hAnsi="宋体" w:cs="宋体"/>
                <w:sz w:val="18"/>
                <w:szCs w:val="18"/>
              </w:rPr>
              <w:t>）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服务对象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满意度指标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指标1: 主管部门满意度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满意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指标2:</w:t>
            </w: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相关工作人员</w:t>
            </w:r>
            <w:r>
              <w:rPr>
                <w:rFonts w:hint="eastAsia" w:ascii="宋体" w:hAnsi="宋体" w:eastAsia="Courier New" w:cs="宋体"/>
                <w:sz w:val="18"/>
                <w:szCs w:val="18"/>
              </w:rPr>
              <w:t>满意度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满意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593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总    分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  <w:jc w:val="center"/>
        </w:trPr>
        <w:tc>
          <w:tcPr>
            <w:tcW w:w="914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方正小标宋简体" w:hAnsi="华文中宋" w:eastAsia="方正小标宋简体" w:cs="宋体"/>
                <w:bCs/>
                <w:sz w:val="44"/>
                <w:szCs w:val="44"/>
              </w:rPr>
            </w:pPr>
            <w:r>
              <w:rPr>
                <w:rFonts w:hint="eastAsia" w:ascii="方正小标宋简体" w:hAnsi="华文中宋" w:eastAsia="方正小标宋简体" w:cs="宋体"/>
                <w:bCs/>
                <w:spacing w:val="20"/>
                <w:sz w:val="44"/>
                <w:szCs w:val="44"/>
              </w:rPr>
              <w:t>项目支出绩效自评表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  <w:jc w:val="center"/>
        </w:trPr>
        <w:tc>
          <w:tcPr>
            <w:tcW w:w="914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400" w:lineRule="exact"/>
              <w:jc w:val="center"/>
              <w:rPr>
                <w:rFonts w:ascii="楷体_GB2312" w:hAnsi="宋体" w:eastAsia="楷体_GB2312" w:cs="宋体"/>
              </w:rPr>
            </w:pPr>
            <w:r>
              <w:rPr>
                <w:rFonts w:hint="eastAsia" w:ascii="方正楷体简体" w:hAnsi="方正楷体简体" w:eastAsia="方正楷体简体" w:cs="方正楷体简体"/>
                <w:sz w:val="32"/>
                <w:szCs w:val="40"/>
              </w:rPr>
              <w:t xml:space="preserve">（   </w:t>
            </w:r>
            <w:r>
              <w:rPr>
                <w:rFonts w:hint="eastAsia" w:ascii="方正楷体简体" w:hAnsi="方正楷体简体" w:eastAsia="方正楷体简体" w:cs="方正楷体简体"/>
                <w:sz w:val="32"/>
                <w:szCs w:val="40"/>
                <w:lang w:val="en-US" w:eastAsia="zh-CN"/>
              </w:rPr>
              <w:t>2021</w:t>
            </w:r>
            <w:r>
              <w:rPr>
                <w:rFonts w:hint="eastAsia" w:ascii="方正楷体简体" w:hAnsi="方正楷体简体" w:eastAsia="方正楷体简体" w:cs="方正楷体简体"/>
                <w:sz w:val="32"/>
                <w:szCs w:val="40"/>
              </w:rPr>
              <w:t xml:space="preserve"> 年度）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项目名称</w:t>
            </w:r>
          </w:p>
        </w:tc>
        <w:tc>
          <w:tcPr>
            <w:tcW w:w="7649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室韦口岸客货联检厅附属建设项目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主管部门及代码</w:t>
            </w:r>
          </w:p>
        </w:tc>
        <w:tc>
          <w:tcPr>
            <w:tcW w:w="378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额尔古纳市人民政府　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实施单位</w:t>
            </w:r>
          </w:p>
        </w:tc>
        <w:tc>
          <w:tcPr>
            <w:tcW w:w="262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eastAsia="zh-CN"/>
              </w:rPr>
              <w:t>额尔古纳市人民政府外事办公室</w:t>
            </w: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项目资金</w:t>
            </w:r>
            <w:r>
              <w:rPr>
                <w:rFonts w:hint="eastAsia" w:ascii="宋体" w:hAnsi="宋体" w:cs="宋体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sz w:val="18"/>
                <w:szCs w:val="18"/>
              </w:rPr>
              <w:t>（万元）</w:t>
            </w: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年初预算数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全年预算数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全年执行数</w:t>
            </w:r>
          </w:p>
        </w:tc>
        <w:tc>
          <w:tcPr>
            <w:tcW w:w="46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分值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执行率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得分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年度资金总额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2000000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2000000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46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其中：财政拨款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2000000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2000000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46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exact"/>
          <w:jc w:val="center"/>
        </w:trPr>
        <w:tc>
          <w:tcPr>
            <w:tcW w:w="149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 xml:space="preserve">     其他资金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-</w:t>
            </w:r>
          </w:p>
        </w:tc>
        <w:tc>
          <w:tcPr>
            <w:tcW w:w="46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-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—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年度总体目标</w:t>
            </w:r>
          </w:p>
        </w:tc>
        <w:tc>
          <w:tcPr>
            <w:tcW w:w="4435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预期目标</w:t>
            </w:r>
          </w:p>
        </w:tc>
        <w:tc>
          <w:tcPr>
            <w:tcW w:w="386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实际完成情况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4435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对口岸进行基础设施建设维护，改善口岸环境。</w:t>
            </w:r>
          </w:p>
        </w:tc>
        <w:tc>
          <w:tcPr>
            <w:tcW w:w="386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对口岸进行基础设施建设维护，改善口岸环境。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5" w:hRule="atLeast"/>
          <w:jc w:val="center"/>
        </w:trPr>
        <w:tc>
          <w:tcPr>
            <w:tcW w:w="84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绩  效  指  标（90）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一级指标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二级指标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三级指标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年度指标值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实际完成值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分值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得分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偏差原因分析及改进措施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产出指标（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20</w:t>
            </w:r>
            <w:r>
              <w:rPr>
                <w:rFonts w:hint="eastAsia" w:ascii="宋体" w:hAnsi="宋体" w:cs="宋体"/>
                <w:sz w:val="18"/>
                <w:szCs w:val="18"/>
              </w:rPr>
              <w:t>）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数量指标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质量指标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指标1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：保证施工质量。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≧100%</w:t>
            </w: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both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指标2: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时效指标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指标1：按时完工。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6"/>
                <w:lang w:val="en-US" w:eastAsia="zh-CN"/>
              </w:rPr>
              <w:t>≦1天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成本指标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效益指标（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50</w:t>
            </w:r>
            <w:r>
              <w:rPr>
                <w:rFonts w:hint="eastAsia" w:ascii="宋体" w:hAnsi="宋体" w:cs="宋体"/>
                <w:sz w:val="18"/>
                <w:szCs w:val="18"/>
              </w:rPr>
              <w:t>）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经济效益指标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指标1：畅通货物运输。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优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25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社会效益指标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  <w:t>：完善口岸基础设施。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优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25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生态效益指标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可持续影响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指    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指标1: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满意度</w:t>
            </w:r>
          </w:p>
          <w:p>
            <w:pPr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指  标（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sz w:val="18"/>
                <w:szCs w:val="18"/>
              </w:rPr>
              <w:t>）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服务对象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满意度指标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指标1: 相关工作人员满意度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满意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指标2: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593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总    分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</w:tbl>
    <w:p>
      <w:pPr>
        <w:spacing w:after="120" w:line="360" w:lineRule="auto"/>
        <w:rPr>
          <w:rFonts w:eastAsia="仿宋_GB2312" w:cstheme="minorBidi"/>
          <w:sz w:val="30"/>
          <w:szCs w:val="30"/>
        </w:rPr>
      </w:pPr>
    </w:p>
    <w:tbl>
      <w:tblPr>
        <w:tblStyle w:val="22"/>
        <w:tblW w:w="91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655"/>
        <w:gridCol w:w="305"/>
        <w:gridCol w:w="1298"/>
        <w:gridCol w:w="22"/>
        <w:gridCol w:w="1007"/>
        <w:gridCol w:w="251"/>
        <w:gridCol w:w="778"/>
        <w:gridCol w:w="779"/>
        <w:gridCol w:w="257"/>
        <w:gridCol w:w="397"/>
        <w:gridCol w:w="394"/>
        <w:gridCol w:w="236"/>
        <w:gridCol w:w="923"/>
        <w:gridCol w:w="100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914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方正小标宋简体" w:hAnsi="华文中宋" w:eastAsia="方正小标宋简体" w:cs="宋体"/>
                <w:bCs/>
                <w:sz w:val="44"/>
                <w:szCs w:val="44"/>
              </w:rPr>
            </w:pPr>
            <w:r>
              <w:rPr>
                <w:rFonts w:hint="eastAsia" w:ascii="方正小标宋简体" w:hAnsi="华文中宋" w:eastAsia="方正小标宋简体" w:cs="宋体"/>
                <w:bCs/>
                <w:spacing w:val="20"/>
                <w:sz w:val="44"/>
                <w:szCs w:val="44"/>
              </w:rPr>
              <w:t>项目支出绩效自评表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  <w:jc w:val="center"/>
        </w:trPr>
        <w:tc>
          <w:tcPr>
            <w:tcW w:w="914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400" w:lineRule="exact"/>
              <w:jc w:val="center"/>
              <w:rPr>
                <w:rFonts w:ascii="楷体_GB2312" w:hAnsi="宋体" w:eastAsia="楷体_GB2312" w:cs="宋体"/>
              </w:rPr>
            </w:pPr>
            <w:r>
              <w:rPr>
                <w:rFonts w:hint="eastAsia" w:ascii="方正楷体简体" w:hAnsi="方正楷体简体" w:eastAsia="方正楷体简体" w:cs="方正楷体简体"/>
                <w:sz w:val="32"/>
                <w:szCs w:val="40"/>
              </w:rPr>
              <w:t xml:space="preserve">（   </w:t>
            </w:r>
            <w:r>
              <w:rPr>
                <w:rFonts w:hint="eastAsia" w:ascii="方正楷体简体" w:hAnsi="方正楷体简体" w:eastAsia="方正楷体简体" w:cs="方正楷体简体"/>
                <w:sz w:val="32"/>
                <w:szCs w:val="40"/>
                <w:lang w:val="en-US" w:eastAsia="zh-CN"/>
              </w:rPr>
              <w:t>2021</w:t>
            </w:r>
            <w:r>
              <w:rPr>
                <w:rFonts w:hint="eastAsia" w:ascii="方正楷体简体" w:hAnsi="方正楷体简体" w:eastAsia="方正楷体简体" w:cs="方正楷体简体"/>
                <w:sz w:val="32"/>
                <w:szCs w:val="40"/>
              </w:rPr>
              <w:t xml:space="preserve"> 年度）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项目名称</w:t>
            </w:r>
          </w:p>
        </w:tc>
        <w:tc>
          <w:tcPr>
            <w:tcW w:w="7649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党组织活动专项经费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主管部门及代码</w:t>
            </w:r>
          </w:p>
        </w:tc>
        <w:tc>
          <w:tcPr>
            <w:tcW w:w="366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额尔古纳市人民政府　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实施单位</w:t>
            </w:r>
          </w:p>
        </w:tc>
        <w:tc>
          <w:tcPr>
            <w:tcW w:w="295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eastAsia="zh-CN"/>
              </w:rPr>
              <w:t>额尔古纳市人民政府外事办公室</w:t>
            </w: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项目资金</w:t>
            </w:r>
            <w:r>
              <w:rPr>
                <w:rFonts w:hint="eastAsia" w:ascii="宋体" w:hAnsi="宋体" w:cs="宋体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sz w:val="18"/>
                <w:szCs w:val="18"/>
              </w:rPr>
              <w:t>（万元）</w:t>
            </w: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年初预算数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全年预算数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全年执行数</w:t>
            </w:r>
          </w:p>
        </w:tc>
        <w:tc>
          <w:tcPr>
            <w:tcW w:w="79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分值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执行率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得分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年度资金总额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40000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40000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79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其中：财政拨款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40000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40000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79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exact"/>
          <w:jc w:val="center"/>
        </w:trPr>
        <w:tc>
          <w:tcPr>
            <w:tcW w:w="149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 xml:space="preserve">     其他资金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-</w:t>
            </w:r>
          </w:p>
        </w:tc>
        <w:tc>
          <w:tcPr>
            <w:tcW w:w="79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-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—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年度总体目标</w:t>
            </w:r>
          </w:p>
        </w:tc>
        <w:tc>
          <w:tcPr>
            <w:tcW w:w="431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预期目标</w:t>
            </w:r>
          </w:p>
        </w:tc>
        <w:tc>
          <w:tcPr>
            <w:tcW w:w="398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实际完成情况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431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保障党务工作有序开展。</w:t>
            </w:r>
          </w:p>
        </w:tc>
        <w:tc>
          <w:tcPr>
            <w:tcW w:w="398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保障党务工作有序开展。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5" w:hRule="atLeast"/>
          <w:jc w:val="center"/>
        </w:trPr>
        <w:tc>
          <w:tcPr>
            <w:tcW w:w="84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绩  效  指  标（90）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一级指标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二级指标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三级指标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年度指标值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实际完成值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分值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得分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偏差原因分析及改进措施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产出指标（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50</w:t>
            </w:r>
            <w:r>
              <w:rPr>
                <w:rFonts w:hint="eastAsia" w:ascii="宋体" w:hAnsi="宋体" w:cs="宋体"/>
                <w:sz w:val="18"/>
                <w:szCs w:val="18"/>
              </w:rPr>
              <w:t>）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数量指标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质量指标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指标1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：保证施工质量。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≧100%</w:t>
            </w: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25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both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指标2: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时效指标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指标1：按规定使用资金。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6"/>
                <w:lang w:val="en-US" w:eastAsia="zh-CN"/>
              </w:rPr>
              <w:t>≦1天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25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25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成本指标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效益指标（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sz w:val="18"/>
                <w:szCs w:val="18"/>
              </w:rPr>
              <w:t>）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经济效益指标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指标1：优化人员配置，提升行动速率，降低国家及人民群众财产损失。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优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社会效益指标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  <w:t>：增进党务宣传工作。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优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生态效益指标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可持续影响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指    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指标1: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满意度</w:t>
            </w:r>
          </w:p>
          <w:p>
            <w:pPr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指  标（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18"/>
                <w:szCs w:val="18"/>
              </w:rPr>
              <w:t>）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服务对象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满意度指标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指标1: 为党务人员工作满意程度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满意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指标2: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593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总    分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  <w:jc w:val="center"/>
        </w:trPr>
        <w:tc>
          <w:tcPr>
            <w:tcW w:w="914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方正小标宋简体" w:hAnsi="华文中宋" w:eastAsia="方正小标宋简体" w:cs="宋体"/>
                <w:bCs/>
                <w:sz w:val="44"/>
                <w:szCs w:val="44"/>
              </w:rPr>
            </w:pPr>
            <w:r>
              <w:rPr>
                <w:rFonts w:hint="eastAsia" w:ascii="方正小标宋简体" w:hAnsi="华文中宋" w:eastAsia="方正小标宋简体" w:cs="宋体"/>
                <w:bCs/>
                <w:spacing w:val="20"/>
                <w:sz w:val="44"/>
                <w:szCs w:val="44"/>
              </w:rPr>
              <w:t>项目支出绩效自评表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  <w:jc w:val="center"/>
        </w:trPr>
        <w:tc>
          <w:tcPr>
            <w:tcW w:w="914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400" w:lineRule="exact"/>
              <w:jc w:val="center"/>
              <w:rPr>
                <w:rFonts w:ascii="楷体_GB2312" w:hAnsi="宋体" w:eastAsia="楷体_GB2312" w:cs="宋体"/>
              </w:rPr>
            </w:pPr>
            <w:r>
              <w:rPr>
                <w:rFonts w:hint="eastAsia" w:ascii="方正楷体简体" w:hAnsi="方正楷体简体" w:eastAsia="方正楷体简体" w:cs="方正楷体简体"/>
                <w:sz w:val="32"/>
                <w:szCs w:val="40"/>
              </w:rPr>
              <w:t xml:space="preserve">（   </w:t>
            </w:r>
            <w:r>
              <w:rPr>
                <w:rFonts w:hint="eastAsia" w:ascii="方正楷体简体" w:hAnsi="方正楷体简体" w:eastAsia="方正楷体简体" w:cs="方正楷体简体"/>
                <w:sz w:val="32"/>
                <w:szCs w:val="40"/>
                <w:lang w:val="en-US" w:eastAsia="zh-CN"/>
              </w:rPr>
              <w:t>2021</w:t>
            </w:r>
            <w:r>
              <w:rPr>
                <w:rFonts w:hint="eastAsia" w:ascii="方正楷体简体" w:hAnsi="方正楷体简体" w:eastAsia="方正楷体简体" w:cs="方正楷体简体"/>
                <w:sz w:val="32"/>
                <w:szCs w:val="40"/>
              </w:rPr>
              <w:t xml:space="preserve"> 年度）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项目名称</w:t>
            </w:r>
          </w:p>
        </w:tc>
        <w:tc>
          <w:tcPr>
            <w:tcW w:w="7649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中俄蒙展洽会项目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主管部门及代码</w:t>
            </w:r>
          </w:p>
        </w:tc>
        <w:tc>
          <w:tcPr>
            <w:tcW w:w="366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额尔古纳市人民政府　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实施单位</w:t>
            </w:r>
          </w:p>
        </w:tc>
        <w:tc>
          <w:tcPr>
            <w:tcW w:w="295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eastAsia="zh-CN"/>
              </w:rPr>
              <w:t>额尔古纳市人民政府外事办公室</w:t>
            </w: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项目资金</w:t>
            </w:r>
            <w:r>
              <w:rPr>
                <w:rFonts w:hint="eastAsia" w:ascii="宋体" w:hAnsi="宋体" w:cs="宋体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sz w:val="18"/>
                <w:szCs w:val="18"/>
              </w:rPr>
              <w:t>（万元）</w:t>
            </w: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年初预算数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全年预算数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全年执行数</w:t>
            </w:r>
          </w:p>
        </w:tc>
        <w:tc>
          <w:tcPr>
            <w:tcW w:w="79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分值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执行率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得分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年度资金总额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50000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50000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79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其中：财政拨款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50000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50000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79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exact"/>
          <w:jc w:val="center"/>
        </w:trPr>
        <w:tc>
          <w:tcPr>
            <w:tcW w:w="149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 xml:space="preserve">     其他资金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-</w:t>
            </w:r>
          </w:p>
        </w:tc>
        <w:tc>
          <w:tcPr>
            <w:tcW w:w="79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-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—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年度总体目标</w:t>
            </w:r>
          </w:p>
        </w:tc>
        <w:tc>
          <w:tcPr>
            <w:tcW w:w="431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预期目标</w:t>
            </w:r>
          </w:p>
        </w:tc>
        <w:tc>
          <w:tcPr>
            <w:tcW w:w="398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实际完成情况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431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保障</w:t>
            </w:r>
            <w:r>
              <w:rPr>
                <w:rFonts w:hint="eastAsia" w:ascii="宋体" w:hAnsi="宋体" w:eastAsia="Courier New" w:cs="宋体"/>
                <w:sz w:val="18"/>
                <w:szCs w:val="18"/>
              </w:rPr>
              <w:t>中俄蒙展洽会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有序开展。</w:t>
            </w:r>
          </w:p>
        </w:tc>
        <w:tc>
          <w:tcPr>
            <w:tcW w:w="398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保障</w:t>
            </w:r>
            <w:r>
              <w:rPr>
                <w:rFonts w:hint="eastAsia" w:ascii="宋体" w:hAnsi="宋体" w:eastAsia="Courier New" w:cs="宋体"/>
                <w:sz w:val="18"/>
                <w:szCs w:val="18"/>
              </w:rPr>
              <w:t>中俄蒙展洽会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有序开展。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5" w:hRule="atLeast"/>
          <w:jc w:val="center"/>
        </w:trPr>
        <w:tc>
          <w:tcPr>
            <w:tcW w:w="84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绩  效  指  标（90）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一级指标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二级指标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三级指标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年度指标值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实际完成值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分值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得分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偏差原因分析及改进措施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产出指标（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18"/>
                <w:szCs w:val="18"/>
              </w:rPr>
              <w:t>）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数量指标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质量指标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指标1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both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指标2: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时效指标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指标1：如期举行。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6"/>
                <w:lang w:val="en-US" w:eastAsia="zh-CN"/>
              </w:rPr>
              <w:t>≦1天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成本指标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效益指标（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65</w:t>
            </w:r>
            <w:r>
              <w:rPr>
                <w:rFonts w:hint="eastAsia" w:ascii="宋体" w:hAnsi="宋体" w:cs="宋体"/>
                <w:sz w:val="18"/>
                <w:szCs w:val="18"/>
              </w:rPr>
              <w:t>）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经济效益指标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指标1：取得了较好的品牌宣传效果。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优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社会效益指标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  <w:t>：促进品牌宣传，展示我市经济发展成就。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优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生态效益指标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指标1：推动中俄蒙三国毗邻地区经贸合作和文化交流。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优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25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可持续影响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指    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指标1: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满意度</w:t>
            </w:r>
          </w:p>
          <w:p>
            <w:pPr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指  标（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18"/>
                <w:szCs w:val="18"/>
              </w:rPr>
              <w:t>）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服务对象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满意度指标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指标1: 相关工作人员满意程度。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满意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指标2:</w:t>
            </w:r>
          </w:p>
        </w:tc>
        <w:tc>
          <w:tcPr>
            <w:tcW w:w="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593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总    分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</w:tbl>
    <w:p>
      <w:pPr>
        <w:pStyle w:val="2"/>
        <w:rPr>
          <w:rFonts w:eastAsia="仿宋_GB2312" w:cstheme="minorBidi"/>
          <w:sz w:val="30"/>
          <w:szCs w:val="30"/>
        </w:rPr>
      </w:pPr>
    </w:p>
    <w:tbl>
      <w:tblPr>
        <w:tblStyle w:val="22"/>
        <w:tblW w:w="925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655"/>
        <w:gridCol w:w="305"/>
        <w:gridCol w:w="1298"/>
        <w:gridCol w:w="22"/>
        <w:gridCol w:w="880"/>
        <w:gridCol w:w="378"/>
        <w:gridCol w:w="1032"/>
        <w:gridCol w:w="525"/>
        <w:gridCol w:w="654"/>
        <w:gridCol w:w="261"/>
        <w:gridCol w:w="636"/>
        <w:gridCol w:w="759"/>
        <w:gridCol w:w="899"/>
        <w:gridCol w:w="10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860" w:hRule="atLeast"/>
          <w:jc w:val="center"/>
        </w:trPr>
        <w:tc>
          <w:tcPr>
            <w:tcW w:w="9148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方正小标宋简体" w:hAnsi="华文中宋" w:eastAsia="方正小标宋简体" w:cs="宋体"/>
                <w:bCs/>
                <w:sz w:val="44"/>
                <w:szCs w:val="44"/>
              </w:rPr>
            </w:pPr>
            <w:r>
              <w:rPr>
                <w:rFonts w:hint="eastAsia" w:ascii="方正小标宋简体" w:hAnsi="华文中宋" w:eastAsia="方正小标宋简体" w:cs="宋体"/>
                <w:bCs/>
                <w:spacing w:val="20"/>
                <w:sz w:val="44"/>
                <w:szCs w:val="44"/>
              </w:rPr>
              <w:t>项目支出绩效自评表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293" w:hRule="atLeast"/>
          <w:jc w:val="center"/>
        </w:trPr>
        <w:tc>
          <w:tcPr>
            <w:tcW w:w="914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400" w:lineRule="exact"/>
              <w:jc w:val="center"/>
              <w:rPr>
                <w:rFonts w:ascii="楷体_GB2312" w:hAnsi="宋体" w:eastAsia="楷体_GB2312" w:cs="宋体"/>
              </w:rPr>
            </w:pPr>
            <w:r>
              <w:rPr>
                <w:rFonts w:hint="eastAsia" w:ascii="方正楷体简体" w:hAnsi="方正楷体简体" w:eastAsia="方正楷体简体" w:cs="方正楷体简体"/>
                <w:sz w:val="32"/>
                <w:szCs w:val="40"/>
              </w:rPr>
              <w:t xml:space="preserve">（   </w:t>
            </w:r>
            <w:r>
              <w:rPr>
                <w:rFonts w:hint="eastAsia" w:ascii="方正楷体简体" w:hAnsi="方正楷体简体" w:eastAsia="方正楷体简体" w:cs="方正楷体简体"/>
                <w:sz w:val="32"/>
                <w:szCs w:val="40"/>
                <w:lang w:val="en-US" w:eastAsia="zh-CN"/>
              </w:rPr>
              <w:t>2021</w:t>
            </w:r>
            <w:r>
              <w:rPr>
                <w:rFonts w:hint="eastAsia" w:ascii="方正楷体简体" w:hAnsi="方正楷体简体" w:eastAsia="方正楷体简体" w:cs="方正楷体简体"/>
                <w:sz w:val="32"/>
                <w:szCs w:val="40"/>
              </w:rPr>
              <w:t xml:space="preserve"> 年度）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284" w:hRule="exact"/>
          <w:jc w:val="center"/>
        </w:trPr>
        <w:tc>
          <w:tcPr>
            <w:tcW w:w="14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项目名称</w:t>
            </w:r>
          </w:p>
        </w:tc>
        <w:tc>
          <w:tcPr>
            <w:tcW w:w="7649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口岸运转费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289" w:hRule="exact"/>
          <w:jc w:val="center"/>
        </w:trPr>
        <w:tc>
          <w:tcPr>
            <w:tcW w:w="14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主管部门及代码</w:t>
            </w:r>
          </w:p>
        </w:tc>
        <w:tc>
          <w:tcPr>
            <w:tcW w:w="391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额尔古纳市人民政府　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实施单位</w:t>
            </w:r>
          </w:p>
        </w:tc>
        <w:tc>
          <w:tcPr>
            <w:tcW w:w="229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eastAsia="zh-CN"/>
              </w:rPr>
              <w:t>额尔古纳市人民政府外事办公室</w:t>
            </w: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exact"/>
          <w:jc w:val="center"/>
        </w:trPr>
        <w:tc>
          <w:tcPr>
            <w:tcW w:w="149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项目资金</w:t>
            </w:r>
            <w:r>
              <w:rPr>
                <w:rFonts w:hint="eastAsia" w:ascii="宋体" w:hAnsi="宋体" w:cs="宋体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sz w:val="18"/>
                <w:szCs w:val="18"/>
              </w:rPr>
              <w:t>（万元）</w:t>
            </w: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年初预算数</w:t>
            </w:r>
          </w:p>
        </w:tc>
        <w:tc>
          <w:tcPr>
            <w:tcW w:w="141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全年预算数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全年执行数</w:t>
            </w:r>
          </w:p>
        </w:tc>
        <w:tc>
          <w:tcPr>
            <w:tcW w:w="6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分值</w:t>
            </w:r>
          </w:p>
        </w:tc>
        <w:tc>
          <w:tcPr>
            <w:tcW w:w="7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执行率</w:t>
            </w:r>
          </w:p>
        </w:tc>
        <w:tc>
          <w:tcPr>
            <w:tcW w:w="100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得分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exact"/>
          <w:jc w:val="center"/>
        </w:trPr>
        <w:tc>
          <w:tcPr>
            <w:tcW w:w="149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年度资金总额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2843148.27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2843148.27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6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00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其中：财政拨款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2843148.27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2843148.27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元</w:t>
            </w:r>
          </w:p>
        </w:tc>
        <w:tc>
          <w:tcPr>
            <w:tcW w:w="6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00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exact"/>
          <w:jc w:val="center"/>
        </w:trPr>
        <w:tc>
          <w:tcPr>
            <w:tcW w:w="149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 xml:space="preserve">     其他资金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-</w:t>
            </w:r>
          </w:p>
        </w:tc>
        <w:tc>
          <w:tcPr>
            <w:tcW w:w="6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-</w:t>
            </w:r>
          </w:p>
        </w:tc>
        <w:tc>
          <w:tcPr>
            <w:tcW w:w="100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—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284" w:hRule="exact"/>
          <w:jc w:val="center"/>
        </w:trPr>
        <w:tc>
          <w:tcPr>
            <w:tcW w:w="84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年度总体目标</w:t>
            </w:r>
          </w:p>
        </w:tc>
        <w:tc>
          <w:tcPr>
            <w:tcW w:w="457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预期目标</w:t>
            </w:r>
          </w:p>
        </w:tc>
        <w:tc>
          <w:tcPr>
            <w:tcW w:w="373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实际完成情况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390" w:hRule="atLeas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457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主要用于保障机关及口岸正常运行。</w:t>
            </w:r>
          </w:p>
        </w:tc>
        <w:tc>
          <w:tcPr>
            <w:tcW w:w="373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主要用于保障机关及口岸正常运行。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cantSplit/>
          <w:trHeight w:val="505" w:hRule="atLeast"/>
          <w:jc w:val="center"/>
        </w:trPr>
        <w:tc>
          <w:tcPr>
            <w:tcW w:w="84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绩  效  指  标（90）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一级指标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二级指标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三级指标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年度指标值</w:t>
            </w:r>
          </w:p>
        </w:tc>
        <w:tc>
          <w:tcPr>
            <w:tcW w:w="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实际完成值</w:t>
            </w: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分值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得分</w:t>
            </w: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偏差原因分析及改进措施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产出指标（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50</w:t>
            </w:r>
            <w:r>
              <w:rPr>
                <w:rFonts w:hint="eastAsia" w:ascii="宋体" w:hAnsi="宋体" w:cs="宋体"/>
                <w:sz w:val="18"/>
                <w:szCs w:val="18"/>
              </w:rPr>
              <w:t>）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数量指标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77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质量指标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指标1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：保证口岸运转工作质量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≧100%</w:t>
            </w: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  <w:tc>
          <w:tcPr>
            <w:tcW w:w="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25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36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both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指标2: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  <w:tc>
          <w:tcPr>
            <w:tcW w:w="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67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时效指标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指标1：按要求完成支付。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6"/>
                <w:lang w:val="en-US" w:eastAsia="zh-CN"/>
              </w:rPr>
              <w:t>≦1天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25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成本指标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89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效益指标（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sz w:val="18"/>
                <w:szCs w:val="18"/>
              </w:rPr>
              <w:t>）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经济效益指标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指标1：促进口岸流通工作。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优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108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社会效益指标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  <w:t>：保障机关及口岸正常运行。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优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51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生态效益指标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29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可持续影响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指    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指标1: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75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满意度</w:t>
            </w:r>
          </w:p>
          <w:p>
            <w:pPr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指  标（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18"/>
                <w:szCs w:val="18"/>
              </w:rPr>
              <w:t>）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服务对象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满意度指标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指标1: 相关工作人员满意程度。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满意</w:t>
            </w:r>
          </w:p>
        </w:tc>
        <w:tc>
          <w:tcPr>
            <w:tcW w:w="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32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指标2: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  <w:lang w:val="en-US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284" w:hRule="atLeast"/>
          <w:jc w:val="center"/>
        </w:trPr>
        <w:tc>
          <w:tcPr>
            <w:tcW w:w="593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总    分</w:t>
            </w:r>
          </w:p>
        </w:tc>
        <w:tc>
          <w:tcPr>
            <w:tcW w:w="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16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</w:tbl>
    <w:p>
      <w:pPr>
        <w:pStyle w:val="2"/>
        <w:rPr>
          <w:rFonts w:eastAsia="仿宋_GB2312" w:cstheme="minorBidi"/>
          <w:sz w:val="30"/>
          <w:szCs w:val="30"/>
        </w:rPr>
      </w:pPr>
    </w:p>
    <w:tbl>
      <w:tblPr>
        <w:tblStyle w:val="22"/>
        <w:tblW w:w="91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655"/>
        <w:gridCol w:w="305"/>
        <w:gridCol w:w="1298"/>
        <w:gridCol w:w="22"/>
        <w:gridCol w:w="880"/>
        <w:gridCol w:w="378"/>
        <w:gridCol w:w="897"/>
        <w:gridCol w:w="660"/>
        <w:gridCol w:w="540"/>
        <w:gridCol w:w="114"/>
        <w:gridCol w:w="394"/>
        <w:gridCol w:w="236"/>
        <w:gridCol w:w="923"/>
        <w:gridCol w:w="100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  <w:jc w:val="center"/>
        </w:trPr>
        <w:tc>
          <w:tcPr>
            <w:tcW w:w="914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方正小标宋简体" w:hAnsi="华文中宋" w:eastAsia="方正小标宋简体" w:cs="宋体"/>
                <w:bCs/>
                <w:sz w:val="44"/>
                <w:szCs w:val="44"/>
              </w:rPr>
            </w:pPr>
            <w:r>
              <w:rPr>
                <w:rFonts w:hint="eastAsia" w:ascii="方正小标宋简体" w:hAnsi="华文中宋" w:eastAsia="方正小标宋简体" w:cs="宋体"/>
                <w:bCs/>
                <w:spacing w:val="20"/>
                <w:sz w:val="44"/>
                <w:szCs w:val="44"/>
              </w:rPr>
              <w:t>项目支出绩效自评表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  <w:jc w:val="center"/>
        </w:trPr>
        <w:tc>
          <w:tcPr>
            <w:tcW w:w="914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400" w:lineRule="exact"/>
              <w:jc w:val="center"/>
              <w:rPr>
                <w:rFonts w:ascii="楷体_GB2312" w:hAnsi="宋体" w:eastAsia="楷体_GB2312" w:cs="宋体"/>
              </w:rPr>
            </w:pPr>
            <w:r>
              <w:rPr>
                <w:rFonts w:hint="eastAsia" w:ascii="方正楷体简体" w:hAnsi="方正楷体简体" w:eastAsia="方正楷体简体" w:cs="方正楷体简体"/>
                <w:sz w:val="32"/>
                <w:szCs w:val="40"/>
              </w:rPr>
              <w:t xml:space="preserve">（   </w:t>
            </w:r>
            <w:r>
              <w:rPr>
                <w:rFonts w:hint="eastAsia" w:ascii="方正楷体简体" w:hAnsi="方正楷体简体" w:eastAsia="方正楷体简体" w:cs="方正楷体简体"/>
                <w:sz w:val="32"/>
                <w:szCs w:val="40"/>
                <w:lang w:val="en-US" w:eastAsia="zh-CN"/>
              </w:rPr>
              <w:t>2021</w:t>
            </w:r>
            <w:r>
              <w:rPr>
                <w:rFonts w:hint="eastAsia" w:ascii="方正楷体简体" w:hAnsi="方正楷体简体" w:eastAsia="方正楷体简体" w:cs="方正楷体简体"/>
                <w:sz w:val="32"/>
                <w:szCs w:val="40"/>
              </w:rPr>
              <w:t xml:space="preserve"> 年度）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项目名称</w:t>
            </w:r>
          </w:p>
        </w:tc>
        <w:tc>
          <w:tcPr>
            <w:tcW w:w="7649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商务外事地方专项资金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exact"/>
          <w:jc w:val="center"/>
        </w:trPr>
        <w:tc>
          <w:tcPr>
            <w:tcW w:w="14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主管部门及代码</w:t>
            </w:r>
          </w:p>
        </w:tc>
        <w:tc>
          <w:tcPr>
            <w:tcW w:w="378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额尔古纳市人民政府　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实施单位</w:t>
            </w:r>
          </w:p>
        </w:tc>
        <w:tc>
          <w:tcPr>
            <w:tcW w:w="266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eastAsia="zh-CN"/>
              </w:rPr>
              <w:t>额尔古纳市人民政府外事办公室</w:t>
            </w: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exact"/>
          <w:jc w:val="center"/>
        </w:trPr>
        <w:tc>
          <w:tcPr>
            <w:tcW w:w="149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项目资金</w:t>
            </w:r>
            <w:r>
              <w:rPr>
                <w:rFonts w:hint="eastAsia" w:ascii="宋体" w:hAnsi="宋体" w:cs="宋体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sz w:val="18"/>
                <w:szCs w:val="18"/>
              </w:rPr>
              <w:t>（万元）</w:t>
            </w: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年初预算数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全年预算数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全年执行数</w:t>
            </w:r>
          </w:p>
        </w:tc>
        <w:tc>
          <w:tcPr>
            <w:tcW w:w="50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分值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执行率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得分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年度资金总额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240000.00元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240000.元元</w:t>
            </w:r>
          </w:p>
        </w:tc>
        <w:tc>
          <w:tcPr>
            <w:tcW w:w="50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49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其中：财政拨款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240000.00元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240000.元</w:t>
            </w:r>
          </w:p>
        </w:tc>
        <w:tc>
          <w:tcPr>
            <w:tcW w:w="50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exact"/>
          <w:jc w:val="center"/>
        </w:trPr>
        <w:tc>
          <w:tcPr>
            <w:tcW w:w="149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 xml:space="preserve">     其他资金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-</w:t>
            </w:r>
          </w:p>
        </w:tc>
        <w:tc>
          <w:tcPr>
            <w:tcW w:w="50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11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-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—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年度总体目标</w:t>
            </w:r>
          </w:p>
        </w:tc>
        <w:tc>
          <w:tcPr>
            <w:tcW w:w="4435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预期目标</w:t>
            </w:r>
          </w:p>
        </w:tc>
        <w:tc>
          <w:tcPr>
            <w:tcW w:w="386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实际完成情况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</w:p>
        </w:tc>
        <w:tc>
          <w:tcPr>
            <w:tcW w:w="4435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1.保障外事、商务、口岸业务正常运转；</w:t>
            </w: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br w:type="textWrapping"/>
            </w: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2.确保黑山头、室韦两口岸工作的顺利进行；</w:t>
            </w: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br w:type="textWrapping"/>
            </w: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3.根据自治区、呼伦贝尔市、额尔古纳市经济发展以及对外开放战略做好服务；</w:t>
            </w: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br w:type="textWrapping"/>
            </w: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4.配合全市疫情防控，加强口岸管理。</w:t>
            </w:r>
          </w:p>
        </w:tc>
        <w:tc>
          <w:tcPr>
            <w:tcW w:w="386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2021年，外事办按照年初既定的任务目标，切实保障外事、商务、口岸业务正常运转；确保黑山头、室韦两口岸工作的顺利进行；并根据自治区、呼伦贝尔市、额尔古纳市经济发展以及对外开放战略做好服务；配合全市疫情防控，加强口岸管理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5" w:hRule="atLeast"/>
          <w:jc w:val="center"/>
        </w:trPr>
        <w:tc>
          <w:tcPr>
            <w:tcW w:w="84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绩  效  指  标（90）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一级指标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二级指标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三级指标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年度指标值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实际完成值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分值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得分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偏差原因分析及改进措施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产出指标（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50</w:t>
            </w:r>
            <w:r>
              <w:rPr>
                <w:rFonts w:hint="eastAsia" w:ascii="宋体" w:hAnsi="宋体" w:cs="宋体"/>
                <w:sz w:val="18"/>
                <w:szCs w:val="18"/>
              </w:rPr>
              <w:t>）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数量指标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指标1：检查、参加会议、汇报工作；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6"/>
                <w:lang w:val="en-US" w:eastAsia="zh-CN"/>
              </w:rPr>
              <w:t>394次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6"/>
                <w:lang w:val="en-US" w:eastAsia="zh-CN"/>
              </w:rPr>
              <w:t>394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指标2：组织对俄视频会议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6"/>
                <w:lang w:val="en-US" w:eastAsia="zh-CN"/>
              </w:rPr>
              <w:t>1次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6"/>
                <w:lang w:val="en-US" w:eastAsia="zh-CN"/>
              </w:rPr>
              <w:t>1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质量指标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指标1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：</w:t>
            </w:r>
            <w:r>
              <w:rPr>
                <w:rFonts w:hint="eastAsia" w:ascii="宋体" w:hAnsi="宋体"/>
                <w:color w:val="000000"/>
                <w:kern w:val="0"/>
                <w:sz w:val="16"/>
                <w:lang w:val="en-US" w:eastAsia="zh-CN"/>
              </w:rPr>
              <w:t>口岸后勤及设施维护情况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≧100%</w:t>
            </w: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0" w:lineRule="exact"/>
              <w:jc w:val="both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指标2: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时效指标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</w:t>
            </w:r>
            <w:r>
              <w:rPr>
                <w:rFonts w:hint="eastAsia" w:ascii="宋体" w:hAnsi="宋体"/>
                <w:color w:val="000000"/>
                <w:kern w:val="0"/>
                <w:sz w:val="16"/>
                <w:lang w:val="en-US" w:eastAsia="zh-CN"/>
              </w:rPr>
              <w:t>工作处理及时度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6"/>
                <w:lang w:val="en-US" w:eastAsia="zh-CN"/>
              </w:rPr>
              <w:t>≦1天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成本指标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效益指标（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sz w:val="18"/>
                <w:szCs w:val="18"/>
              </w:rPr>
              <w:t>）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经济效益指标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指标1：促进口岸流通工作。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优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社会效益指标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  <w:t>：</w:t>
            </w:r>
            <w:r>
              <w:rPr>
                <w:rFonts w:hint="eastAsia" w:ascii="宋体" w:hAnsi="宋体"/>
                <w:color w:val="000000"/>
                <w:kern w:val="0"/>
                <w:sz w:val="16"/>
                <w:lang w:val="en-US" w:eastAsia="zh-CN"/>
              </w:rPr>
              <w:t>有利于对外工作的开展，促进对</w:t>
            </w:r>
            <w:r>
              <w:rPr>
                <w:rFonts w:hint="eastAsia" w:ascii="宋体" w:hAnsi="宋体"/>
                <w:color w:val="000000"/>
                <w:kern w:val="0"/>
                <w:sz w:val="16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color w:val="000000"/>
                <w:kern w:val="0"/>
                <w:sz w:val="16"/>
                <w:lang w:val="en-US" w:eastAsia="zh-CN"/>
              </w:rPr>
              <w:t>外交流等工作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优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  <w:r>
              <w:rPr>
                <w:rFonts w:hint="eastAsia" w:ascii="宋体" w:hAnsi="宋体"/>
                <w:color w:val="000000"/>
                <w:kern w:val="0"/>
                <w:sz w:val="16"/>
                <w:lang w:val="en-US" w:eastAsia="zh-CN"/>
              </w:rPr>
              <w:t>开展安全、口岸检查加强对社会安全活动监督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优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6"/>
                <w:lang w:val="en-US" w:eastAsia="zh-CN"/>
              </w:rPr>
              <w:t>优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生态效益指标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9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可持续影响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指    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指标1:保障日常工作，无工作停滞情</w:t>
            </w:r>
          </w:p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况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6"/>
                <w:lang w:val="en-US" w:eastAsia="zh-CN"/>
              </w:rPr>
              <w:t>优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6"/>
                <w:lang w:val="en-US" w:eastAsia="zh-CN"/>
              </w:rPr>
              <w:t>优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指标2：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满意度</w:t>
            </w:r>
          </w:p>
          <w:p>
            <w:pPr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指  标（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18"/>
                <w:szCs w:val="18"/>
              </w:rPr>
              <w:t>）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服务对象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满意度指标</w:t>
            </w: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指标1:服务对象，包括外贸内贸企业、海关边检人员等满意程度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满意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exact"/>
          <w:jc w:val="center"/>
        </w:trPr>
        <w:tc>
          <w:tcPr>
            <w:tcW w:w="8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exact"/>
              <w:jc w:val="center"/>
              <w:rPr>
                <w:rFonts w:hint="eastAsia" w:ascii="宋体" w:hAnsi="宋体" w:eastAsia="Courier New" w:cs="宋体"/>
                <w:sz w:val="18"/>
                <w:szCs w:val="18"/>
              </w:rPr>
            </w:pPr>
            <w:r>
              <w:rPr>
                <w:rFonts w:hint="eastAsia" w:ascii="宋体" w:hAnsi="宋体" w:eastAsia="Courier New" w:cs="宋体"/>
                <w:sz w:val="18"/>
                <w:szCs w:val="18"/>
              </w:rPr>
              <w:t>指标2: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593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总    分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19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　</w:t>
            </w:r>
          </w:p>
        </w:tc>
      </w:tr>
    </w:tbl>
    <w:p>
      <w:pPr>
        <w:pStyle w:val="2"/>
        <w:rPr>
          <w:rFonts w:eastAsia="仿宋_GB2312" w:cstheme="minorBidi"/>
          <w:sz w:val="30"/>
          <w:szCs w:val="30"/>
        </w:rPr>
      </w:pPr>
    </w:p>
    <w:p>
      <w:pPr>
        <w:pStyle w:val="2"/>
        <w:rPr>
          <w:rFonts w:eastAsia="仿宋_GB2312" w:cstheme="minorBidi"/>
          <w:sz w:val="30"/>
          <w:szCs w:val="30"/>
        </w:rPr>
      </w:pPr>
    </w:p>
    <w:p>
      <w:pPr>
        <w:pStyle w:val="2"/>
        <w:rPr>
          <w:rFonts w:eastAsia="仿宋_GB2312" w:cstheme="minorBidi"/>
          <w:sz w:val="30"/>
          <w:szCs w:val="30"/>
        </w:rPr>
      </w:pPr>
    </w:p>
    <w:sectPr>
      <w:pgSz w:w="11910" w:h="16840"/>
      <w:pgMar w:top="1580" w:right="1080" w:bottom="280" w:left="1080" w:header="720" w:footer="720" w:gutter="0"/>
      <w:pgNumType w:fmt="numberInDash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 Light">
    <w:altName w:val="宋体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等线">
    <w:altName w:val="宋体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New York">
    <w:altName w:val="Times New Roman"/>
    <w:panose1 w:val="02040503060506020304"/>
    <w:charset w:val="00"/>
    <w:family w:val="roman"/>
    <w:pitch w:val="default"/>
    <w:sig w:usb0="00000000" w:usb1="00000000" w:usb2="00000000" w:usb3="00000000" w:csb0="00000001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楷体简体">
    <w:altName w:val="楷体"/>
    <w:panose1 w:val="00000000000000000000"/>
    <w:charset w:val="00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jc w:val="center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6" name="文本框 19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- 3 -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zSVju0AAAAAUBAAAPAAAAAAAAAAEAIAAAACIA&#10;AABkcnMvZG93bnJldi54bWxQSwECFAAUAAAACACHTuJA4BHi6hECAAALBAAADgAAAAAAAAABACAA&#10;AAAfAQAAZHJzL2Uyb0RvYy54bWxQSwUGAAAAAAYABgBZAQAAo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- 3 -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1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6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UyZTZiOWNhNTRkM2JiNDQwZWRmZDZjZTIwNDhiY2IifQ=="/>
  </w:docVars>
  <w:rsids>
    <w:rsidRoot w:val="00172A27"/>
    <w:rsid w:val="00000CBF"/>
    <w:rsid w:val="000034CD"/>
    <w:rsid w:val="00003B87"/>
    <w:rsid w:val="000106AF"/>
    <w:rsid w:val="00010F09"/>
    <w:rsid w:val="00010F57"/>
    <w:rsid w:val="00014729"/>
    <w:rsid w:val="000168E2"/>
    <w:rsid w:val="00016E30"/>
    <w:rsid w:val="0001778D"/>
    <w:rsid w:val="00023930"/>
    <w:rsid w:val="0002537D"/>
    <w:rsid w:val="000267C9"/>
    <w:rsid w:val="000316D6"/>
    <w:rsid w:val="00034C3D"/>
    <w:rsid w:val="00035935"/>
    <w:rsid w:val="00035BD9"/>
    <w:rsid w:val="00037650"/>
    <w:rsid w:val="000408B3"/>
    <w:rsid w:val="000409C6"/>
    <w:rsid w:val="00040A7B"/>
    <w:rsid w:val="0004437D"/>
    <w:rsid w:val="00044D5A"/>
    <w:rsid w:val="000517C8"/>
    <w:rsid w:val="00052722"/>
    <w:rsid w:val="00052AB3"/>
    <w:rsid w:val="000530B5"/>
    <w:rsid w:val="000547DF"/>
    <w:rsid w:val="00056E21"/>
    <w:rsid w:val="00063642"/>
    <w:rsid w:val="00065474"/>
    <w:rsid w:val="00071596"/>
    <w:rsid w:val="00073EED"/>
    <w:rsid w:val="00080B1C"/>
    <w:rsid w:val="00082025"/>
    <w:rsid w:val="000843F5"/>
    <w:rsid w:val="00084B87"/>
    <w:rsid w:val="00084C61"/>
    <w:rsid w:val="00084EE5"/>
    <w:rsid w:val="00085C93"/>
    <w:rsid w:val="00087A5E"/>
    <w:rsid w:val="00090945"/>
    <w:rsid w:val="00094212"/>
    <w:rsid w:val="00094289"/>
    <w:rsid w:val="00094579"/>
    <w:rsid w:val="0009486F"/>
    <w:rsid w:val="00097AD5"/>
    <w:rsid w:val="00097E70"/>
    <w:rsid w:val="000A3463"/>
    <w:rsid w:val="000A3CBA"/>
    <w:rsid w:val="000B179A"/>
    <w:rsid w:val="000B19DD"/>
    <w:rsid w:val="000B271C"/>
    <w:rsid w:val="000B3090"/>
    <w:rsid w:val="000B395D"/>
    <w:rsid w:val="000B4C87"/>
    <w:rsid w:val="000B5E2F"/>
    <w:rsid w:val="000B75C9"/>
    <w:rsid w:val="000C2547"/>
    <w:rsid w:val="000C2657"/>
    <w:rsid w:val="000C3B4A"/>
    <w:rsid w:val="000C7570"/>
    <w:rsid w:val="000D1A18"/>
    <w:rsid w:val="000D4710"/>
    <w:rsid w:val="000E093A"/>
    <w:rsid w:val="000E597B"/>
    <w:rsid w:val="000E63BF"/>
    <w:rsid w:val="000F0BD4"/>
    <w:rsid w:val="000F344F"/>
    <w:rsid w:val="000F6C2D"/>
    <w:rsid w:val="000F7468"/>
    <w:rsid w:val="000F746A"/>
    <w:rsid w:val="00102140"/>
    <w:rsid w:val="00106E16"/>
    <w:rsid w:val="001114EC"/>
    <w:rsid w:val="00112A96"/>
    <w:rsid w:val="001133DF"/>
    <w:rsid w:val="00114F9E"/>
    <w:rsid w:val="001151B8"/>
    <w:rsid w:val="00122854"/>
    <w:rsid w:val="00122B22"/>
    <w:rsid w:val="00123EEA"/>
    <w:rsid w:val="00126508"/>
    <w:rsid w:val="001329DF"/>
    <w:rsid w:val="001342A7"/>
    <w:rsid w:val="00142E3E"/>
    <w:rsid w:val="001432CD"/>
    <w:rsid w:val="0014381D"/>
    <w:rsid w:val="0014464F"/>
    <w:rsid w:val="00152205"/>
    <w:rsid w:val="00153AFD"/>
    <w:rsid w:val="00155332"/>
    <w:rsid w:val="00155E13"/>
    <w:rsid w:val="00157214"/>
    <w:rsid w:val="001602D6"/>
    <w:rsid w:val="00163244"/>
    <w:rsid w:val="00163F67"/>
    <w:rsid w:val="00172A27"/>
    <w:rsid w:val="001735FD"/>
    <w:rsid w:val="001738CA"/>
    <w:rsid w:val="00175368"/>
    <w:rsid w:val="001802D6"/>
    <w:rsid w:val="00191536"/>
    <w:rsid w:val="00193879"/>
    <w:rsid w:val="001940E1"/>
    <w:rsid w:val="00196BA0"/>
    <w:rsid w:val="0019719A"/>
    <w:rsid w:val="001A02B5"/>
    <w:rsid w:val="001A1BDF"/>
    <w:rsid w:val="001A2F89"/>
    <w:rsid w:val="001A3158"/>
    <w:rsid w:val="001A3CE2"/>
    <w:rsid w:val="001A5241"/>
    <w:rsid w:val="001B012D"/>
    <w:rsid w:val="001B0DDF"/>
    <w:rsid w:val="001B1449"/>
    <w:rsid w:val="001B3621"/>
    <w:rsid w:val="001B4457"/>
    <w:rsid w:val="001B5368"/>
    <w:rsid w:val="001B5EC9"/>
    <w:rsid w:val="001B7FCD"/>
    <w:rsid w:val="001C0CDF"/>
    <w:rsid w:val="001C4010"/>
    <w:rsid w:val="001C6BF1"/>
    <w:rsid w:val="001D3C7E"/>
    <w:rsid w:val="001D6D0B"/>
    <w:rsid w:val="001D7958"/>
    <w:rsid w:val="001E0433"/>
    <w:rsid w:val="001E3429"/>
    <w:rsid w:val="001E68D8"/>
    <w:rsid w:val="001E76DB"/>
    <w:rsid w:val="001F4C1E"/>
    <w:rsid w:val="001F6B7A"/>
    <w:rsid w:val="00200204"/>
    <w:rsid w:val="002015D3"/>
    <w:rsid w:val="002039F1"/>
    <w:rsid w:val="002044DF"/>
    <w:rsid w:val="002049F7"/>
    <w:rsid w:val="0021312E"/>
    <w:rsid w:val="0021383F"/>
    <w:rsid w:val="00214BEE"/>
    <w:rsid w:val="0021585B"/>
    <w:rsid w:val="0021600A"/>
    <w:rsid w:val="0021726C"/>
    <w:rsid w:val="00217770"/>
    <w:rsid w:val="00220C2A"/>
    <w:rsid w:val="00221E65"/>
    <w:rsid w:val="002240B1"/>
    <w:rsid w:val="0022415F"/>
    <w:rsid w:val="00224835"/>
    <w:rsid w:val="00224F3D"/>
    <w:rsid w:val="00225C23"/>
    <w:rsid w:val="00233D9B"/>
    <w:rsid w:val="00236FA6"/>
    <w:rsid w:val="00240094"/>
    <w:rsid w:val="00241B6B"/>
    <w:rsid w:val="002431E6"/>
    <w:rsid w:val="0024416D"/>
    <w:rsid w:val="00244B90"/>
    <w:rsid w:val="00245FFD"/>
    <w:rsid w:val="0025052F"/>
    <w:rsid w:val="0025133B"/>
    <w:rsid w:val="002519F2"/>
    <w:rsid w:val="00251E52"/>
    <w:rsid w:val="00252024"/>
    <w:rsid w:val="00252295"/>
    <w:rsid w:val="002604EC"/>
    <w:rsid w:val="0026390E"/>
    <w:rsid w:val="00266811"/>
    <w:rsid w:val="002670EA"/>
    <w:rsid w:val="00270D49"/>
    <w:rsid w:val="002742F8"/>
    <w:rsid w:val="002748BD"/>
    <w:rsid w:val="00274A4D"/>
    <w:rsid w:val="00274E33"/>
    <w:rsid w:val="00286355"/>
    <w:rsid w:val="00286B1A"/>
    <w:rsid w:val="00287D92"/>
    <w:rsid w:val="00290958"/>
    <w:rsid w:val="00291FC4"/>
    <w:rsid w:val="002926AE"/>
    <w:rsid w:val="00293A42"/>
    <w:rsid w:val="00293F3B"/>
    <w:rsid w:val="00294D1F"/>
    <w:rsid w:val="002A25F0"/>
    <w:rsid w:val="002A38DC"/>
    <w:rsid w:val="002A3F94"/>
    <w:rsid w:val="002A4CC2"/>
    <w:rsid w:val="002B0E96"/>
    <w:rsid w:val="002B21CC"/>
    <w:rsid w:val="002B3658"/>
    <w:rsid w:val="002B37C5"/>
    <w:rsid w:val="002B7E88"/>
    <w:rsid w:val="002D028A"/>
    <w:rsid w:val="002D2D64"/>
    <w:rsid w:val="002D3180"/>
    <w:rsid w:val="002D4EA7"/>
    <w:rsid w:val="002D6124"/>
    <w:rsid w:val="002D6167"/>
    <w:rsid w:val="002D70B8"/>
    <w:rsid w:val="002D7791"/>
    <w:rsid w:val="002D7AEB"/>
    <w:rsid w:val="002D7FE5"/>
    <w:rsid w:val="002F0AEA"/>
    <w:rsid w:val="002F0CEB"/>
    <w:rsid w:val="002F1022"/>
    <w:rsid w:val="002F2712"/>
    <w:rsid w:val="002F73C2"/>
    <w:rsid w:val="002F7AA1"/>
    <w:rsid w:val="0030209D"/>
    <w:rsid w:val="00304A27"/>
    <w:rsid w:val="0030703E"/>
    <w:rsid w:val="00307477"/>
    <w:rsid w:val="003115CC"/>
    <w:rsid w:val="00313750"/>
    <w:rsid w:val="00316EA0"/>
    <w:rsid w:val="00321A3C"/>
    <w:rsid w:val="0033160F"/>
    <w:rsid w:val="00331DB0"/>
    <w:rsid w:val="003337F4"/>
    <w:rsid w:val="00335EEB"/>
    <w:rsid w:val="00337D32"/>
    <w:rsid w:val="003406D1"/>
    <w:rsid w:val="0034673B"/>
    <w:rsid w:val="00351751"/>
    <w:rsid w:val="00351CBC"/>
    <w:rsid w:val="00352172"/>
    <w:rsid w:val="00355342"/>
    <w:rsid w:val="00356692"/>
    <w:rsid w:val="00356F2E"/>
    <w:rsid w:val="003575C9"/>
    <w:rsid w:val="0036025D"/>
    <w:rsid w:val="00361339"/>
    <w:rsid w:val="003617B4"/>
    <w:rsid w:val="003631E0"/>
    <w:rsid w:val="003655C7"/>
    <w:rsid w:val="003666F6"/>
    <w:rsid w:val="00367F5C"/>
    <w:rsid w:val="00367FEB"/>
    <w:rsid w:val="00370C21"/>
    <w:rsid w:val="0037119D"/>
    <w:rsid w:val="00371460"/>
    <w:rsid w:val="00371E38"/>
    <w:rsid w:val="00374C99"/>
    <w:rsid w:val="00374EC2"/>
    <w:rsid w:val="00375717"/>
    <w:rsid w:val="00377F83"/>
    <w:rsid w:val="00385C9F"/>
    <w:rsid w:val="00385D9C"/>
    <w:rsid w:val="00386A78"/>
    <w:rsid w:val="00387B4F"/>
    <w:rsid w:val="00387FDC"/>
    <w:rsid w:val="003900E4"/>
    <w:rsid w:val="003908AD"/>
    <w:rsid w:val="003944BB"/>
    <w:rsid w:val="003945B5"/>
    <w:rsid w:val="00394D62"/>
    <w:rsid w:val="00395D0B"/>
    <w:rsid w:val="00397362"/>
    <w:rsid w:val="003A003A"/>
    <w:rsid w:val="003A1185"/>
    <w:rsid w:val="003A3E3C"/>
    <w:rsid w:val="003A4972"/>
    <w:rsid w:val="003B4A14"/>
    <w:rsid w:val="003B5570"/>
    <w:rsid w:val="003C31AB"/>
    <w:rsid w:val="003C35CD"/>
    <w:rsid w:val="003C43EA"/>
    <w:rsid w:val="003C4F65"/>
    <w:rsid w:val="003C53D2"/>
    <w:rsid w:val="003C7866"/>
    <w:rsid w:val="003D0971"/>
    <w:rsid w:val="003D3C90"/>
    <w:rsid w:val="003D5CBF"/>
    <w:rsid w:val="003E02C3"/>
    <w:rsid w:val="003E18C9"/>
    <w:rsid w:val="003F567D"/>
    <w:rsid w:val="003F7782"/>
    <w:rsid w:val="00400588"/>
    <w:rsid w:val="00406AC9"/>
    <w:rsid w:val="0041073B"/>
    <w:rsid w:val="0041167C"/>
    <w:rsid w:val="004138A8"/>
    <w:rsid w:val="0041426C"/>
    <w:rsid w:val="00416FDF"/>
    <w:rsid w:val="00417B37"/>
    <w:rsid w:val="0042054B"/>
    <w:rsid w:val="00420D95"/>
    <w:rsid w:val="004253B8"/>
    <w:rsid w:val="00425ED7"/>
    <w:rsid w:val="00426740"/>
    <w:rsid w:val="00427C2F"/>
    <w:rsid w:val="00427E84"/>
    <w:rsid w:val="0043128C"/>
    <w:rsid w:val="00434D44"/>
    <w:rsid w:val="0044228B"/>
    <w:rsid w:val="00442688"/>
    <w:rsid w:val="00442AED"/>
    <w:rsid w:val="00442D5D"/>
    <w:rsid w:val="00444B82"/>
    <w:rsid w:val="004459F0"/>
    <w:rsid w:val="00454633"/>
    <w:rsid w:val="00454737"/>
    <w:rsid w:val="00455BF8"/>
    <w:rsid w:val="00456DB3"/>
    <w:rsid w:val="00456EAD"/>
    <w:rsid w:val="004604FE"/>
    <w:rsid w:val="004611A8"/>
    <w:rsid w:val="00467117"/>
    <w:rsid w:val="00467D70"/>
    <w:rsid w:val="00467DC5"/>
    <w:rsid w:val="004702DB"/>
    <w:rsid w:val="00473D33"/>
    <w:rsid w:val="004769DB"/>
    <w:rsid w:val="00481EB5"/>
    <w:rsid w:val="00482B89"/>
    <w:rsid w:val="004833E7"/>
    <w:rsid w:val="00483401"/>
    <w:rsid w:val="00491B17"/>
    <w:rsid w:val="004931F8"/>
    <w:rsid w:val="00494023"/>
    <w:rsid w:val="004967F7"/>
    <w:rsid w:val="00497241"/>
    <w:rsid w:val="004A1F81"/>
    <w:rsid w:val="004A20B6"/>
    <w:rsid w:val="004A2147"/>
    <w:rsid w:val="004A2789"/>
    <w:rsid w:val="004A2DF3"/>
    <w:rsid w:val="004A2FCA"/>
    <w:rsid w:val="004A3875"/>
    <w:rsid w:val="004A7AF4"/>
    <w:rsid w:val="004B048E"/>
    <w:rsid w:val="004B143B"/>
    <w:rsid w:val="004B174D"/>
    <w:rsid w:val="004B5933"/>
    <w:rsid w:val="004C500C"/>
    <w:rsid w:val="004C5FFC"/>
    <w:rsid w:val="004C74F7"/>
    <w:rsid w:val="004D1253"/>
    <w:rsid w:val="004D158E"/>
    <w:rsid w:val="004D2861"/>
    <w:rsid w:val="004D5666"/>
    <w:rsid w:val="004D6BB1"/>
    <w:rsid w:val="004D7A03"/>
    <w:rsid w:val="004D7DBF"/>
    <w:rsid w:val="004E0454"/>
    <w:rsid w:val="004E06ED"/>
    <w:rsid w:val="004E1457"/>
    <w:rsid w:val="004E4A43"/>
    <w:rsid w:val="004E4BBF"/>
    <w:rsid w:val="004F2CDD"/>
    <w:rsid w:val="004F4D87"/>
    <w:rsid w:val="004F55CD"/>
    <w:rsid w:val="004F58A0"/>
    <w:rsid w:val="004F5F12"/>
    <w:rsid w:val="004F6692"/>
    <w:rsid w:val="004F77B0"/>
    <w:rsid w:val="00501EEF"/>
    <w:rsid w:val="00502A31"/>
    <w:rsid w:val="00505021"/>
    <w:rsid w:val="00506790"/>
    <w:rsid w:val="00510EFF"/>
    <w:rsid w:val="00511B53"/>
    <w:rsid w:val="005146EE"/>
    <w:rsid w:val="005160E3"/>
    <w:rsid w:val="005161E3"/>
    <w:rsid w:val="00516B40"/>
    <w:rsid w:val="005203F0"/>
    <w:rsid w:val="00521E09"/>
    <w:rsid w:val="00525EB0"/>
    <w:rsid w:val="00535551"/>
    <w:rsid w:val="0053664B"/>
    <w:rsid w:val="00540718"/>
    <w:rsid w:val="00540B71"/>
    <w:rsid w:val="00541F46"/>
    <w:rsid w:val="0054292B"/>
    <w:rsid w:val="005440BF"/>
    <w:rsid w:val="0054661A"/>
    <w:rsid w:val="00552574"/>
    <w:rsid w:val="00554DCA"/>
    <w:rsid w:val="00556C59"/>
    <w:rsid w:val="00557E0E"/>
    <w:rsid w:val="005604D0"/>
    <w:rsid w:val="005614CC"/>
    <w:rsid w:val="005615F3"/>
    <w:rsid w:val="0056225D"/>
    <w:rsid w:val="00562E92"/>
    <w:rsid w:val="005639FA"/>
    <w:rsid w:val="0056420B"/>
    <w:rsid w:val="00564ABA"/>
    <w:rsid w:val="005653F5"/>
    <w:rsid w:val="00571BB6"/>
    <w:rsid w:val="00572A14"/>
    <w:rsid w:val="0057572A"/>
    <w:rsid w:val="00576A02"/>
    <w:rsid w:val="0058236D"/>
    <w:rsid w:val="00582BA2"/>
    <w:rsid w:val="00583D19"/>
    <w:rsid w:val="0058789A"/>
    <w:rsid w:val="00593F60"/>
    <w:rsid w:val="00594E72"/>
    <w:rsid w:val="00594E89"/>
    <w:rsid w:val="00595732"/>
    <w:rsid w:val="005957A8"/>
    <w:rsid w:val="005A0020"/>
    <w:rsid w:val="005A0592"/>
    <w:rsid w:val="005A09E0"/>
    <w:rsid w:val="005A1BC7"/>
    <w:rsid w:val="005A7383"/>
    <w:rsid w:val="005B155E"/>
    <w:rsid w:val="005B1651"/>
    <w:rsid w:val="005B1D05"/>
    <w:rsid w:val="005B544A"/>
    <w:rsid w:val="005B570B"/>
    <w:rsid w:val="005B5ECD"/>
    <w:rsid w:val="005C5D3B"/>
    <w:rsid w:val="005C773C"/>
    <w:rsid w:val="005D2118"/>
    <w:rsid w:val="005D476C"/>
    <w:rsid w:val="005D5AEF"/>
    <w:rsid w:val="005E031D"/>
    <w:rsid w:val="005E2226"/>
    <w:rsid w:val="005F007E"/>
    <w:rsid w:val="005F22D5"/>
    <w:rsid w:val="005F2659"/>
    <w:rsid w:val="005F3198"/>
    <w:rsid w:val="005F5238"/>
    <w:rsid w:val="005F5B86"/>
    <w:rsid w:val="00603A8C"/>
    <w:rsid w:val="00607135"/>
    <w:rsid w:val="00610D76"/>
    <w:rsid w:val="0061425B"/>
    <w:rsid w:val="00615CCA"/>
    <w:rsid w:val="00616504"/>
    <w:rsid w:val="00616551"/>
    <w:rsid w:val="00617C3C"/>
    <w:rsid w:val="00623384"/>
    <w:rsid w:val="006236AD"/>
    <w:rsid w:val="0063195F"/>
    <w:rsid w:val="00631E13"/>
    <w:rsid w:val="00632944"/>
    <w:rsid w:val="006355A9"/>
    <w:rsid w:val="00637A4F"/>
    <w:rsid w:val="00641CD5"/>
    <w:rsid w:val="00642BB6"/>
    <w:rsid w:val="00644031"/>
    <w:rsid w:val="00644FBC"/>
    <w:rsid w:val="00647134"/>
    <w:rsid w:val="00652DB9"/>
    <w:rsid w:val="0065703E"/>
    <w:rsid w:val="006575E7"/>
    <w:rsid w:val="00657673"/>
    <w:rsid w:val="00661E32"/>
    <w:rsid w:val="00662CCA"/>
    <w:rsid w:val="00662EC6"/>
    <w:rsid w:val="00662F26"/>
    <w:rsid w:val="00665B56"/>
    <w:rsid w:val="00670E53"/>
    <w:rsid w:val="006720DF"/>
    <w:rsid w:val="00672743"/>
    <w:rsid w:val="00681E9C"/>
    <w:rsid w:val="00682B2E"/>
    <w:rsid w:val="00683341"/>
    <w:rsid w:val="006853C1"/>
    <w:rsid w:val="0068695A"/>
    <w:rsid w:val="00686C54"/>
    <w:rsid w:val="00687D34"/>
    <w:rsid w:val="00691B56"/>
    <w:rsid w:val="00691CC7"/>
    <w:rsid w:val="00691D88"/>
    <w:rsid w:val="00693C36"/>
    <w:rsid w:val="0069508B"/>
    <w:rsid w:val="00695904"/>
    <w:rsid w:val="006966EC"/>
    <w:rsid w:val="0069730F"/>
    <w:rsid w:val="00697930"/>
    <w:rsid w:val="006A0A1B"/>
    <w:rsid w:val="006A1B40"/>
    <w:rsid w:val="006A29F4"/>
    <w:rsid w:val="006A33FD"/>
    <w:rsid w:val="006A4D49"/>
    <w:rsid w:val="006A5098"/>
    <w:rsid w:val="006A623D"/>
    <w:rsid w:val="006B1149"/>
    <w:rsid w:val="006B1F4E"/>
    <w:rsid w:val="006B35D8"/>
    <w:rsid w:val="006B5EC7"/>
    <w:rsid w:val="006B6C41"/>
    <w:rsid w:val="006C0F17"/>
    <w:rsid w:val="006C3341"/>
    <w:rsid w:val="006C3359"/>
    <w:rsid w:val="006C4A23"/>
    <w:rsid w:val="006C5697"/>
    <w:rsid w:val="006C6FF2"/>
    <w:rsid w:val="006C79FA"/>
    <w:rsid w:val="006C7ECE"/>
    <w:rsid w:val="006D10E1"/>
    <w:rsid w:val="006D3BB4"/>
    <w:rsid w:val="006D4EAB"/>
    <w:rsid w:val="006F04BC"/>
    <w:rsid w:val="006F520F"/>
    <w:rsid w:val="00700A16"/>
    <w:rsid w:val="00701E0C"/>
    <w:rsid w:val="0070236E"/>
    <w:rsid w:val="00702E1F"/>
    <w:rsid w:val="00705D96"/>
    <w:rsid w:val="00706BD6"/>
    <w:rsid w:val="00710B15"/>
    <w:rsid w:val="00710DBC"/>
    <w:rsid w:val="00710F2F"/>
    <w:rsid w:val="00711981"/>
    <w:rsid w:val="00712513"/>
    <w:rsid w:val="00714FCB"/>
    <w:rsid w:val="00716714"/>
    <w:rsid w:val="00717855"/>
    <w:rsid w:val="007208BC"/>
    <w:rsid w:val="007223AD"/>
    <w:rsid w:val="0072313B"/>
    <w:rsid w:val="0073016A"/>
    <w:rsid w:val="007319CE"/>
    <w:rsid w:val="0073502E"/>
    <w:rsid w:val="00735453"/>
    <w:rsid w:val="0074153A"/>
    <w:rsid w:val="00741A58"/>
    <w:rsid w:val="007438FA"/>
    <w:rsid w:val="007444F9"/>
    <w:rsid w:val="00745662"/>
    <w:rsid w:val="00746BB0"/>
    <w:rsid w:val="007500F5"/>
    <w:rsid w:val="00751B12"/>
    <w:rsid w:val="007525B4"/>
    <w:rsid w:val="0075361E"/>
    <w:rsid w:val="00755B39"/>
    <w:rsid w:val="00756505"/>
    <w:rsid w:val="007602DD"/>
    <w:rsid w:val="00760CD7"/>
    <w:rsid w:val="0076688E"/>
    <w:rsid w:val="007720CC"/>
    <w:rsid w:val="0077226B"/>
    <w:rsid w:val="00773DB6"/>
    <w:rsid w:val="0077514A"/>
    <w:rsid w:val="00781279"/>
    <w:rsid w:val="00783AFE"/>
    <w:rsid w:val="007904FF"/>
    <w:rsid w:val="007925EB"/>
    <w:rsid w:val="00796798"/>
    <w:rsid w:val="00797B28"/>
    <w:rsid w:val="007A038A"/>
    <w:rsid w:val="007A1E1B"/>
    <w:rsid w:val="007A23C5"/>
    <w:rsid w:val="007A3D48"/>
    <w:rsid w:val="007A5961"/>
    <w:rsid w:val="007A62AF"/>
    <w:rsid w:val="007A6303"/>
    <w:rsid w:val="007A73B9"/>
    <w:rsid w:val="007B0811"/>
    <w:rsid w:val="007B12CC"/>
    <w:rsid w:val="007B31EB"/>
    <w:rsid w:val="007B425E"/>
    <w:rsid w:val="007C1D53"/>
    <w:rsid w:val="007C22F2"/>
    <w:rsid w:val="007C4FA1"/>
    <w:rsid w:val="007D2F2B"/>
    <w:rsid w:val="007D48A4"/>
    <w:rsid w:val="007D719A"/>
    <w:rsid w:val="007E11AF"/>
    <w:rsid w:val="007E36AC"/>
    <w:rsid w:val="007E4B97"/>
    <w:rsid w:val="007E5353"/>
    <w:rsid w:val="007E55B7"/>
    <w:rsid w:val="007E6392"/>
    <w:rsid w:val="007F42D9"/>
    <w:rsid w:val="007F5799"/>
    <w:rsid w:val="007F5BF8"/>
    <w:rsid w:val="007F7B66"/>
    <w:rsid w:val="00801DE2"/>
    <w:rsid w:val="00802AAD"/>
    <w:rsid w:val="008038C9"/>
    <w:rsid w:val="0080646E"/>
    <w:rsid w:val="00806C2A"/>
    <w:rsid w:val="008077DA"/>
    <w:rsid w:val="008153A1"/>
    <w:rsid w:val="00825BFE"/>
    <w:rsid w:val="00825C8F"/>
    <w:rsid w:val="00826B5E"/>
    <w:rsid w:val="00831380"/>
    <w:rsid w:val="00831843"/>
    <w:rsid w:val="00832D6F"/>
    <w:rsid w:val="008330BB"/>
    <w:rsid w:val="00833CAD"/>
    <w:rsid w:val="008406FC"/>
    <w:rsid w:val="00840AA3"/>
    <w:rsid w:val="008410E6"/>
    <w:rsid w:val="00841318"/>
    <w:rsid w:val="00841E77"/>
    <w:rsid w:val="008421E5"/>
    <w:rsid w:val="00845E45"/>
    <w:rsid w:val="008512E3"/>
    <w:rsid w:val="00851C1E"/>
    <w:rsid w:val="00853166"/>
    <w:rsid w:val="008545A3"/>
    <w:rsid w:val="00856CD9"/>
    <w:rsid w:val="00862F0E"/>
    <w:rsid w:val="00863E6B"/>
    <w:rsid w:val="008655F8"/>
    <w:rsid w:val="00867DAD"/>
    <w:rsid w:val="00867EAE"/>
    <w:rsid w:val="00870A99"/>
    <w:rsid w:val="00871458"/>
    <w:rsid w:val="00872CB6"/>
    <w:rsid w:val="00874F21"/>
    <w:rsid w:val="00882D02"/>
    <w:rsid w:val="00883213"/>
    <w:rsid w:val="00884A1B"/>
    <w:rsid w:val="008923A4"/>
    <w:rsid w:val="008927E0"/>
    <w:rsid w:val="00893556"/>
    <w:rsid w:val="00893B88"/>
    <w:rsid w:val="008953C4"/>
    <w:rsid w:val="008A02F3"/>
    <w:rsid w:val="008A4193"/>
    <w:rsid w:val="008A4440"/>
    <w:rsid w:val="008A58B3"/>
    <w:rsid w:val="008B024E"/>
    <w:rsid w:val="008B14E4"/>
    <w:rsid w:val="008B2C45"/>
    <w:rsid w:val="008B4190"/>
    <w:rsid w:val="008C0361"/>
    <w:rsid w:val="008C2670"/>
    <w:rsid w:val="008C6831"/>
    <w:rsid w:val="008C736D"/>
    <w:rsid w:val="008D30DD"/>
    <w:rsid w:val="008D35B6"/>
    <w:rsid w:val="008D5D5A"/>
    <w:rsid w:val="008D63C9"/>
    <w:rsid w:val="008D77B0"/>
    <w:rsid w:val="008E06A1"/>
    <w:rsid w:val="008E1673"/>
    <w:rsid w:val="008E6D68"/>
    <w:rsid w:val="008F4555"/>
    <w:rsid w:val="00900431"/>
    <w:rsid w:val="00902193"/>
    <w:rsid w:val="0090328C"/>
    <w:rsid w:val="00910123"/>
    <w:rsid w:val="00912961"/>
    <w:rsid w:val="00913386"/>
    <w:rsid w:val="00913F71"/>
    <w:rsid w:val="00914563"/>
    <w:rsid w:val="00916D35"/>
    <w:rsid w:val="00921822"/>
    <w:rsid w:val="00921960"/>
    <w:rsid w:val="0092196F"/>
    <w:rsid w:val="00923F6C"/>
    <w:rsid w:val="00925D28"/>
    <w:rsid w:val="00927B48"/>
    <w:rsid w:val="00931166"/>
    <w:rsid w:val="0093340A"/>
    <w:rsid w:val="00933955"/>
    <w:rsid w:val="00935A11"/>
    <w:rsid w:val="00936518"/>
    <w:rsid w:val="00937032"/>
    <w:rsid w:val="00937C98"/>
    <w:rsid w:val="0094258F"/>
    <w:rsid w:val="0094661D"/>
    <w:rsid w:val="0095122D"/>
    <w:rsid w:val="00952194"/>
    <w:rsid w:val="00955087"/>
    <w:rsid w:val="0095730F"/>
    <w:rsid w:val="0096060D"/>
    <w:rsid w:val="00961C95"/>
    <w:rsid w:val="00962A5F"/>
    <w:rsid w:val="00963B0B"/>
    <w:rsid w:val="0096467C"/>
    <w:rsid w:val="00965969"/>
    <w:rsid w:val="00965DB7"/>
    <w:rsid w:val="009667C2"/>
    <w:rsid w:val="00967F39"/>
    <w:rsid w:val="00970038"/>
    <w:rsid w:val="00971D84"/>
    <w:rsid w:val="0097237D"/>
    <w:rsid w:val="009740A2"/>
    <w:rsid w:val="00976F17"/>
    <w:rsid w:val="00981972"/>
    <w:rsid w:val="0098245F"/>
    <w:rsid w:val="009855CA"/>
    <w:rsid w:val="00990C45"/>
    <w:rsid w:val="00990F07"/>
    <w:rsid w:val="009932D0"/>
    <w:rsid w:val="00996DA3"/>
    <w:rsid w:val="009B0A61"/>
    <w:rsid w:val="009B109A"/>
    <w:rsid w:val="009B4531"/>
    <w:rsid w:val="009B5F75"/>
    <w:rsid w:val="009B6519"/>
    <w:rsid w:val="009B6C65"/>
    <w:rsid w:val="009B7836"/>
    <w:rsid w:val="009C164A"/>
    <w:rsid w:val="009D0A18"/>
    <w:rsid w:val="009D17E4"/>
    <w:rsid w:val="009D5A93"/>
    <w:rsid w:val="009D5BA5"/>
    <w:rsid w:val="009D64E2"/>
    <w:rsid w:val="009D6BF5"/>
    <w:rsid w:val="009E0276"/>
    <w:rsid w:val="009E25B6"/>
    <w:rsid w:val="009E2A29"/>
    <w:rsid w:val="009E5F33"/>
    <w:rsid w:val="009E6791"/>
    <w:rsid w:val="009E7510"/>
    <w:rsid w:val="009F02C1"/>
    <w:rsid w:val="009F0BD2"/>
    <w:rsid w:val="009F1452"/>
    <w:rsid w:val="009F1BF8"/>
    <w:rsid w:val="009F1C9C"/>
    <w:rsid w:val="009F250C"/>
    <w:rsid w:val="009F275E"/>
    <w:rsid w:val="009F434C"/>
    <w:rsid w:val="009F7D34"/>
    <w:rsid w:val="00A00E7B"/>
    <w:rsid w:val="00A02520"/>
    <w:rsid w:val="00A02BAA"/>
    <w:rsid w:val="00A107BD"/>
    <w:rsid w:val="00A10D56"/>
    <w:rsid w:val="00A1218E"/>
    <w:rsid w:val="00A12C39"/>
    <w:rsid w:val="00A13A13"/>
    <w:rsid w:val="00A15326"/>
    <w:rsid w:val="00A16CEC"/>
    <w:rsid w:val="00A26C91"/>
    <w:rsid w:val="00A26E9C"/>
    <w:rsid w:val="00A318E2"/>
    <w:rsid w:val="00A33F58"/>
    <w:rsid w:val="00A36055"/>
    <w:rsid w:val="00A40BC8"/>
    <w:rsid w:val="00A4369D"/>
    <w:rsid w:val="00A43B19"/>
    <w:rsid w:val="00A4472E"/>
    <w:rsid w:val="00A46D31"/>
    <w:rsid w:val="00A47EA4"/>
    <w:rsid w:val="00A503E5"/>
    <w:rsid w:val="00A509FD"/>
    <w:rsid w:val="00A53FF0"/>
    <w:rsid w:val="00A54456"/>
    <w:rsid w:val="00A5471E"/>
    <w:rsid w:val="00A551D7"/>
    <w:rsid w:val="00A55B27"/>
    <w:rsid w:val="00A55BDA"/>
    <w:rsid w:val="00A60C43"/>
    <w:rsid w:val="00A64596"/>
    <w:rsid w:val="00A67BE2"/>
    <w:rsid w:val="00A723B4"/>
    <w:rsid w:val="00A74820"/>
    <w:rsid w:val="00A76E41"/>
    <w:rsid w:val="00A776BC"/>
    <w:rsid w:val="00A8105F"/>
    <w:rsid w:val="00A81465"/>
    <w:rsid w:val="00A833A7"/>
    <w:rsid w:val="00A86AB0"/>
    <w:rsid w:val="00A87262"/>
    <w:rsid w:val="00A90F79"/>
    <w:rsid w:val="00A93929"/>
    <w:rsid w:val="00A9509B"/>
    <w:rsid w:val="00A963E4"/>
    <w:rsid w:val="00A97C90"/>
    <w:rsid w:val="00AA15A6"/>
    <w:rsid w:val="00AA182F"/>
    <w:rsid w:val="00AA3F58"/>
    <w:rsid w:val="00AA4870"/>
    <w:rsid w:val="00AA6B5D"/>
    <w:rsid w:val="00AB1D83"/>
    <w:rsid w:val="00AB5668"/>
    <w:rsid w:val="00AB587E"/>
    <w:rsid w:val="00AB6697"/>
    <w:rsid w:val="00AC0CA3"/>
    <w:rsid w:val="00AC24D8"/>
    <w:rsid w:val="00AC2F0E"/>
    <w:rsid w:val="00AC6B22"/>
    <w:rsid w:val="00AD13AD"/>
    <w:rsid w:val="00AE08D3"/>
    <w:rsid w:val="00AE225B"/>
    <w:rsid w:val="00AE46A4"/>
    <w:rsid w:val="00AE535D"/>
    <w:rsid w:val="00AE69CE"/>
    <w:rsid w:val="00AF08E9"/>
    <w:rsid w:val="00AF0B26"/>
    <w:rsid w:val="00AF2165"/>
    <w:rsid w:val="00AF6826"/>
    <w:rsid w:val="00B00877"/>
    <w:rsid w:val="00B02697"/>
    <w:rsid w:val="00B0719C"/>
    <w:rsid w:val="00B14CC8"/>
    <w:rsid w:val="00B17240"/>
    <w:rsid w:val="00B234C1"/>
    <w:rsid w:val="00B248CE"/>
    <w:rsid w:val="00B24E37"/>
    <w:rsid w:val="00B25020"/>
    <w:rsid w:val="00B256C8"/>
    <w:rsid w:val="00B256F6"/>
    <w:rsid w:val="00B272EE"/>
    <w:rsid w:val="00B302A1"/>
    <w:rsid w:val="00B31FCC"/>
    <w:rsid w:val="00B3557A"/>
    <w:rsid w:val="00B3740D"/>
    <w:rsid w:val="00B3776F"/>
    <w:rsid w:val="00B418AB"/>
    <w:rsid w:val="00B41ACE"/>
    <w:rsid w:val="00B4291F"/>
    <w:rsid w:val="00B42B7C"/>
    <w:rsid w:val="00B42F55"/>
    <w:rsid w:val="00B46CA3"/>
    <w:rsid w:val="00B5591E"/>
    <w:rsid w:val="00B565C7"/>
    <w:rsid w:val="00B566A6"/>
    <w:rsid w:val="00B56F47"/>
    <w:rsid w:val="00B57C2D"/>
    <w:rsid w:val="00B608C5"/>
    <w:rsid w:val="00B61CEF"/>
    <w:rsid w:val="00B657D7"/>
    <w:rsid w:val="00B659E9"/>
    <w:rsid w:val="00B677D1"/>
    <w:rsid w:val="00B7130A"/>
    <w:rsid w:val="00B71CA8"/>
    <w:rsid w:val="00B753C1"/>
    <w:rsid w:val="00B82CCF"/>
    <w:rsid w:val="00B83052"/>
    <w:rsid w:val="00B8677C"/>
    <w:rsid w:val="00B90FC3"/>
    <w:rsid w:val="00B92387"/>
    <w:rsid w:val="00B9395A"/>
    <w:rsid w:val="00B93A38"/>
    <w:rsid w:val="00B95280"/>
    <w:rsid w:val="00B9638C"/>
    <w:rsid w:val="00BA5133"/>
    <w:rsid w:val="00BA5885"/>
    <w:rsid w:val="00BA59F6"/>
    <w:rsid w:val="00BA6774"/>
    <w:rsid w:val="00BB0763"/>
    <w:rsid w:val="00BB0E01"/>
    <w:rsid w:val="00BB1CB2"/>
    <w:rsid w:val="00BB21F1"/>
    <w:rsid w:val="00BB4264"/>
    <w:rsid w:val="00BB4B2D"/>
    <w:rsid w:val="00BB6099"/>
    <w:rsid w:val="00BB6BDE"/>
    <w:rsid w:val="00BB702A"/>
    <w:rsid w:val="00BC0FBE"/>
    <w:rsid w:val="00BC1D98"/>
    <w:rsid w:val="00BC3F50"/>
    <w:rsid w:val="00BD324F"/>
    <w:rsid w:val="00BD3603"/>
    <w:rsid w:val="00BD702A"/>
    <w:rsid w:val="00BE0161"/>
    <w:rsid w:val="00BE1766"/>
    <w:rsid w:val="00BE3275"/>
    <w:rsid w:val="00BE36C6"/>
    <w:rsid w:val="00BE5F84"/>
    <w:rsid w:val="00BF0DFB"/>
    <w:rsid w:val="00BF14CF"/>
    <w:rsid w:val="00BF48F2"/>
    <w:rsid w:val="00BF648F"/>
    <w:rsid w:val="00C00A12"/>
    <w:rsid w:val="00C01354"/>
    <w:rsid w:val="00C02E08"/>
    <w:rsid w:val="00C04FEC"/>
    <w:rsid w:val="00C05052"/>
    <w:rsid w:val="00C0544C"/>
    <w:rsid w:val="00C064AA"/>
    <w:rsid w:val="00C10643"/>
    <w:rsid w:val="00C15609"/>
    <w:rsid w:val="00C16EAB"/>
    <w:rsid w:val="00C23757"/>
    <w:rsid w:val="00C2432E"/>
    <w:rsid w:val="00C25332"/>
    <w:rsid w:val="00C25933"/>
    <w:rsid w:val="00C27C2B"/>
    <w:rsid w:val="00C3318C"/>
    <w:rsid w:val="00C34F6D"/>
    <w:rsid w:val="00C3720A"/>
    <w:rsid w:val="00C41DCA"/>
    <w:rsid w:val="00C45720"/>
    <w:rsid w:val="00C51934"/>
    <w:rsid w:val="00C549B2"/>
    <w:rsid w:val="00C55715"/>
    <w:rsid w:val="00C56FA8"/>
    <w:rsid w:val="00C61C00"/>
    <w:rsid w:val="00C62802"/>
    <w:rsid w:val="00C6346F"/>
    <w:rsid w:val="00C6500D"/>
    <w:rsid w:val="00C73DB2"/>
    <w:rsid w:val="00C75067"/>
    <w:rsid w:val="00C802CF"/>
    <w:rsid w:val="00C830BD"/>
    <w:rsid w:val="00C84E19"/>
    <w:rsid w:val="00C85194"/>
    <w:rsid w:val="00C95F53"/>
    <w:rsid w:val="00C97F3E"/>
    <w:rsid w:val="00CA00FB"/>
    <w:rsid w:val="00CA0715"/>
    <w:rsid w:val="00CA11BC"/>
    <w:rsid w:val="00CA1CD2"/>
    <w:rsid w:val="00CA39D0"/>
    <w:rsid w:val="00CA48E6"/>
    <w:rsid w:val="00CA4E7E"/>
    <w:rsid w:val="00CA67C6"/>
    <w:rsid w:val="00CB14B8"/>
    <w:rsid w:val="00CB262F"/>
    <w:rsid w:val="00CB39DC"/>
    <w:rsid w:val="00CB4939"/>
    <w:rsid w:val="00CB5977"/>
    <w:rsid w:val="00CB5E07"/>
    <w:rsid w:val="00CB5FDB"/>
    <w:rsid w:val="00CC36CA"/>
    <w:rsid w:val="00CC4049"/>
    <w:rsid w:val="00CC6EF3"/>
    <w:rsid w:val="00CC7A2E"/>
    <w:rsid w:val="00CC7AEB"/>
    <w:rsid w:val="00CD27CB"/>
    <w:rsid w:val="00CD478B"/>
    <w:rsid w:val="00CD6BE5"/>
    <w:rsid w:val="00CD77F5"/>
    <w:rsid w:val="00CD7CD7"/>
    <w:rsid w:val="00CD7DD7"/>
    <w:rsid w:val="00CE0245"/>
    <w:rsid w:val="00CE47BF"/>
    <w:rsid w:val="00CE76D0"/>
    <w:rsid w:val="00CF43D3"/>
    <w:rsid w:val="00CF4997"/>
    <w:rsid w:val="00CF7256"/>
    <w:rsid w:val="00CF75BB"/>
    <w:rsid w:val="00D03579"/>
    <w:rsid w:val="00D04FCE"/>
    <w:rsid w:val="00D11D9E"/>
    <w:rsid w:val="00D13247"/>
    <w:rsid w:val="00D1341B"/>
    <w:rsid w:val="00D13E31"/>
    <w:rsid w:val="00D16614"/>
    <w:rsid w:val="00D2127E"/>
    <w:rsid w:val="00D228D1"/>
    <w:rsid w:val="00D22DFA"/>
    <w:rsid w:val="00D24B8C"/>
    <w:rsid w:val="00D26AA8"/>
    <w:rsid w:val="00D27019"/>
    <w:rsid w:val="00D315DA"/>
    <w:rsid w:val="00D3317F"/>
    <w:rsid w:val="00D360BE"/>
    <w:rsid w:val="00D40BC5"/>
    <w:rsid w:val="00D40F06"/>
    <w:rsid w:val="00D44057"/>
    <w:rsid w:val="00D44B67"/>
    <w:rsid w:val="00D44E81"/>
    <w:rsid w:val="00D4599E"/>
    <w:rsid w:val="00D47576"/>
    <w:rsid w:val="00D479E8"/>
    <w:rsid w:val="00D542F2"/>
    <w:rsid w:val="00D5493C"/>
    <w:rsid w:val="00D56F9B"/>
    <w:rsid w:val="00D61162"/>
    <w:rsid w:val="00D61BD1"/>
    <w:rsid w:val="00D631BE"/>
    <w:rsid w:val="00D635C4"/>
    <w:rsid w:val="00D65D0C"/>
    <w:rsid w:val="00D66AE2"/>
    <w:rsid w:val="00D66B0F"/>
    <w:rsid w:val="00D671EA"/>
    <w:rsid w:val="00D72C3B"/>
    <w:rsid w:val="00D74180"/>
    <w:rsid w:val="00D744B4"/>
    <w:rsid w:val="00D7549F"/>
    <w:rsid w:val="00D77416"/>
    <w:rsid w:val="00D774D4"/>
    <w:rsid w:val="00D7757D"/>
    <w:rsid w:val="00D8023F"/>
    <w:rsid w:val="00D80950"/>
    <w:rsid w:val="00D8348B"/>
    <w:rsid w:val="00D868F2"/>
    <w:rsid w:val="00D86FDE"/>
    <w:rsid w:val="00D8757C"/>
    <w:rsid w:val="00D908D3"/>
    <w:rsid w:val="00D90C19"/>
    <w:rsid w:val="00D91C36"/>
    <w:rsid w:val="00D94AE6"/>
    <w:rsid w:val="00D94BB9"/>
    <w:rsid w:val="00D95048"/>
    <w:rsid w:val="00DA1AE4"/>
    <w:rsid w:val="00DA283C"/>
    <w:rsid w:val="00DA437B"/>
    <w:rsid w:val="00DA78D7"/>
    <w:rsid w:val="00DB0831"/>
    <w:rsid w:val="00DB1859"/>
    <w:rsid w:val="00DB1D37"/>
    <w:rsid w:val="00DB3A56"/>
    <w:rsid w:val="00DB6FE7"/>
    <w:rsid w:val="00DC1D00"/>
    <w:rsid w:val="00DC2A9F"/>
    <w:rsid w:val="00DC552D"/>
    <w:rsid w:val="00DC7B47"/>
    <w:rsid w:val="00DD1A5C"/>
    <w:rsid w:val="00DD1F41"/>
    <w:rsid w:val="00DD34E5"/>
    <w:rsid w:val="00DD3639"/>
    <w:rsid w:val="00DD4360"/>
    <w:rsid w:val="00DD6DD7"/>
    <w:rsid w:val="00DD6FD2"/>
    <w:rsid w:val="00DE1373"/>
    <w:rsid w:val="00DE21B5"/>
    <w:rsid w:val="00DE2EF0"/>
    <w:rsid w:val="00DE5A74"/>
    <w:rsid w:val="00DF0EBB"/>
    <w:rsid w:val="00DF22C3"/>
    <w:rsid w:val="00DF298C"/>
    <w:rsid w:val="00DF40A0"/>
    <w:rsid w:val="00DF4135"/>
    <w:rsid w:val="00DF5A45"/>
    <w:rsid w:val="00DF6369"/>
    <w:rsid w:val="00DF693A"/>
    <w:rsid w:val="00E0259E"/>
    <w:rsid w:val="00E0287C"/>
    <w:rsid w:val="00E0318A"/>
    <w:rsid w:val="00E04CC3"/>
    <w:rsid w:val="00E1000C"/>
    <w:rsid w:val="00E10BFF"/>
    <w:rsid w:val="00E1186D"/>
    <w:rsid w:val="00E1484A"/>
    <w:rsid w:val="00E152C9"/>
    <w:rsid w:val="00E2020D"/>
    <w:rsid w:val="00E21A06"/>
    <w:rsid w:val="00E2576F"/>
    <w:rsid w:val="00E30197"/>
    <w:rsid w:val="00E30704"/>
    <w:rsid w:val="00E30B21"/>
    <w:rsid w:val="00E344E1"/>
    <w:rsid w:val="00E34784"/>
    <w:rsid w:val="00E42B97"/>
    <w:rsid w:val="00E46AF8"/>
    <w:rsid w:val="00E5409A"/>
    <w:rsid w:val="00E5458F"/>
    <w:rsid w:val="00E61333"/>
    <w:rsid w:val="00E6159D"/>
    <w:rsid w:val="00E62805"/>
    <w:rsid w:val="00E67AB7"/>
    <w:rsid w:val="00E743FC"/>
    <w:rsid w:val="00E760DC"/>
    <w:rsid w:val="00E772BA"/>
    <w:rsid w:val="00E80BCE"/>
    <w:rsid w:val="00E80EFF"/>
    <w:rsid w:val="00E81CF1"/>
    <w:rsid w:val="00E82532"/>
    <w:rsid w:val="00E855FA"/>
    <w:rsid w:val="00E85BD7"/>
    <w:rsid w:val="00E85F4F"/>
    <w:rsid w:val="00E87612"/>
    <w:rsid w:val="00E905AE"/>
    <w:rsid w:val="00E92ACD"/>
    <w:rsid w:val="00E974A2"/>
    <w:rsid w:val="00EA0415"/>
    <w:rsid w:val="00EA5AB5"/>
    <w:rsid w:val="00EA5D6A"/>
    <w:rsid w:val="00EA6950"/>
    <w:rsid w:val="00EB57E9"/>
    <w:rsid w:val="00EC05E9"/>
    <w:rsid w:val="00EC2A61"/>
    <w:rsid w:val="00EC2D7F"/>
    <w:rsid w:val="00EC614F"/>
    <w:rsid w:val="00EC6556"/>
    <w:rsid w:val="00ED1FD7"/>
    <w:rsid w:val="00ED3275"/>
    <w:rsid w:val="00ED3A25"/>
    <w:rsid w:val="00ED5234"/>
    <w:rsid w:val="00ED5C41"/>
    <w:rsid w:val="00EE1152"/>
    <w:rsid w:val="00EE2474"/>
    <w:rsid w:val="00EF28C5"/>
    <w:rsid w:val="00EF324E"/>
    <w:rsid w:val="00EF349C"/>
    <w:rsid w:val="00EF39B2"/>
    <w:rsid w:val="00EF39ED"/>
    <w:rsid w:val="00F021CF"/>
    <w:rsid w:val="00F05B0F"/>
    <w:rsid w:val="00F12BB0"/>
    <w:rsid w:val="00F13DE3"/>
    <w:rsid w:val="00F13E79"/>
    <w:rsid w:val="00F16AF2"/>
    <w:rsid w:val="00F17BAE"/>
    <w:rsid w:val="00F17C50"/>
    <w:rsid w:val="00F2001D"/>
    <w:rsid w:val="00F20029"/>
    <w:rsid w:val="00F2201F"/>
    <w:rsid w:val="00F23852"/>
    <w:rsid w:val="00F24D86"/>
    <w:rsid w:val="00F318B8"/>
    <w:rsid w:val="00F323B7"/>
    <w:rsid w:val="00F33B15"/>
    <w:rsid w:val="00F341B8"/>
    <w:rsid w:val="00F417A3"/>
    <w:rsid w:val="00F42B7E"/>
    <w:rsid w:val="00F42EDB"/>
    <w:rsid w:val="00F44275"/>
    <w:rsid w:val="00F46C0C"/>
    <w:rsid w:val="00F5064E"/>
    <w:rsid w:val="00F55B72"/>
    <w:rsid w:val="00F6056C"/>
    <w:rsid w:val="00F60CB5"/>
    <w:rsid w:val="00F61581"/>
    <w:rsid w:val="00F62E7F"/>
    <w:rsid w:val="00F63BB9"/>
    <w:rsid w:val="00F658B9"/>
    <w:rsid w:val="00F67DBB"/>
    <w:rsid w:val="00F700AA"/>
    <w:rsid w:val="00F718B0"/>
    <w:rsid w:val="00F73A71"/>
    <w:rsid w:val="00F77D48"/>
    <w:rsid w:val="00F8293E"/>
    <w:rsid w:val="00F82BD4"/>
    <w:rsid w:val="00F84C94"/>
    <w:rsid w:val="00F90BB6"/>
    <w:rsid w:val="00F915D1"/>
    <w:rsid w:val="00F91939"/>
    <w:rsid w:val="00F93E86"/>
    <w:rsid w:val="00F9576D"/>
    <w:rsid w:val="00F95A5B"/>
    <w:rsid w:val="00F95F0C"/>
    <w:rsid w:val="00F9732F"/>
    <w:rsid w:val="00FA0E7F"/>
    <w:rsid w:val="00FA3548"/>
    <w:rsid w:val="00FA4B38"/>
    <w:rsid w:val="00FA50EB"/>
    <w:rsid w:val="00FA6DC0"/>
    <w:rsid w:val="00FA7EB1"/>
    <w:rsid w:val="00FB1CEC"/>
    <w:rsid w:val="00FB419B"/>
    <w:rsid w:val="00FB46DC"/>
    <w:rsid w:val="00FB6F9F"/>
    <w:rsid w:val="00FB7A48"/>
    <w:rsid w:val="00FC12FE"/>
    <w:rsid w:val="00FC1489"/>
    <w:rsid w:val="00FC3441"/>
    <w:rsid w:val="00FD1ED3"/>
    <w:rsid w:val="00FD6C28"/>
    <w:rsid w:val="00FE1287"/>
    <w:rsid w:val="00FE310B"/>
    <w:rsid w:val="00FE39B9"/>
    <w:rsid w:val="00FE6AD7"/>
    <w:rsid w:val="00FF1BA9"/>
    <w:rsid w:val="00FF5290"/>
    <w:rsid w:val="00FF60DC"/>
    <w:rsid w:val="03C84930"/>
    <w:rsid w:val="03DF7E09"/>
    <w:rsid w:val="048320BB"/>
    <w:rsid w:val="05531A54"/>
    <w:rsid w:val="05F92C68"/>
    <w:rsid w:val="06571B7A"/>
    <w:rsid w:val="077111CE"/>
    <w:rsid w:val="0772575A"/>
    <w:rsid w:val="07DA3A8F"/>
    <w:rsid w:val="089D7C92"/>
    <w:rsid w:val="09C92DD3"/>
    <w:rsid w:val="09CF6E4B"/>
    <w:rsid w:val="0BD554C2"/>
    <w:rsid w:val="104A032E"/>
    <w:rsid w:val="11304CEB"/>
    <w:rsid w:val="11AF4DCB"/>
    <w:rsid w:val="12955111"/>
    <w:rsid w:val="12CC6E6D"/>
    <w:rsid w:val="13806E42"/>
    <w:rsid w:val="140E7482"/>
    <w:rsid w:val="141D33F7"/>
    <w:rsid w:val="14262875"/>
    <w:rsid w:val="1440520B"/>
    <w:rsid w:val="14737EE6"/>
    <w:rsid w:val="160E0043"/>
    <w:rsid w:val="164200CB"/>
    <w:rsid w:val="183A0A1F"/>
    <w:rsid w:val="18F24B63"/>
    <w:rsid w:val="198C1D89"/>
    <w:rsid w:val="1B74013C"/>
    <w:rsid w:val="1BD87549"/>
    <w:rsid w:val="1CFA34AD"/>
    <w:rsid w:val="1D201476"/>
    <w:rsid w:val="1E0D2BED"/>
    <w:rsid w:val="1E1E5E67"/>
    <w:rsid w:val="1E591AD6"/>
    <w:rsid w:val="1F14499E"/>
    <w:rsid w:val="1F5B26C7"/>
    <w:rsid w:val="203A4DF7"/>
    <w:rsid w:val="219E1EC1"/>
    <w:rsid w:val="224109E7"/>
    <w:rsid w:val="22EB689E"/>
    <w:rsid w:val="249C2E00"/>
    <w:rsid w:val="27F62AEE"/>
    <w:rsid w:val="2866365B"/>
    <w:rsid w:val="2BDD6474"/>
    <w:rsid w:val="2CF23FA9"/>
    <w:rsid w:val="2F204A26"/>
    <w:rsid w:val="2F3045A4"/>
    <w:rsid w:val="2F567AA0"/>
    <w:rsid w:val="2F7C0B3A"/>
    <w:rsid w:val="309F5392"/>
    <w:rsid w:val="3161171F"/>
    <w:rsid w:val="319A28B2"/>
    <w:rsid w:val="3276083D"/>
    <w:rsid w:val="339B19D0"/>
    <w:rsid w:val="3508551A"/>
    <w:rsid w:val="359C0F7A"/>
    <w:rsid w:val="361F11DE"/>
    <w:rsid w:val="37776170"/>
    <w:rsid w:val="378B37C3"/>
    <w:rsid w:val="3941563D"/>
    <w:rsid w:val="3AE332B3"/>
    <w:rsid w:val="3B200754"/>
    <w:rsid w:val="3C8C247C"/>
    <w:rsid w:val="3D65545B"/>
    <w:rsid w:val="3E7C6D69"/>
    <w:rsid w:val="3F5B59E4"/>
    <w:rsid w:val="3F9B531D"/>
    <w:rsid w:val="3FA119B7"/>
    <w:rsid w:val="40177DE3"/>
    <w:rsid w:val="417A1877"/>
    <w:rsid w:val="432253DD"/>
    <w:rsid w:val="43863DDA"/>
    <w:rsid w:val="444939F2"/>
    <w:rsid w:val="45551365"/>
    <w:rsid w:val="476F66C2"/>
    <w:rsid w:val="482809DA"/>
    <w:rsid w:val="4A0B7731"/>
    <w:rsid w:val="4A9A751F"/>
    <w:rsid w:val="4AB8212E"/>
    <w:rsid w:val="4AE10089"/>
    <w:rsid w:val="4B3A3DE4"/>
    <w:rsid w:val="4B77032C"/>
    <w:rsid w:val="4BCA4DC2"/>
    <w:rsid w:val="4C0070C4"/>
    <w:rsid w:val="4FA56487"/>
    <w:rsid w:val="4FC44EDC"/>
    <w:rsid w:val="52C12FB4"/>
    <w:rsid w:val="535B5D4C"/>
    <w:rsid w:val="53866EE0"/>
    <w:rsid w:val="538F587F"/>
    <w:rsid w:val="544E2FF3"/>
    <w:rsid w:val="55D63612"/>
    <w:rsid w:val="59654F1B"/>
    <w:rsid w:val="5A8E6B50"/>
    <w:rsid w:val="5B526E3B"/>
    <w:rsid w:val="5B986F08"/>
    <w:rsid w:val="5D176670"/>
    <w:rsid w:val="5EFB5FCF"/>
    <w:rsid w:val="5F9C4411"/>
    <w:rsid w:val="60976762"/>
    <w:rsid w:val="615674ED"/>
    <w:rsid w:val="637048DB"/>
    <w:rsid w:val="64AA146F"/>
    <w:rsid w:val="65335497"/>
    <w:rsid w:val="65D76172"/>
    <w:rsid w:val="66C77325"/>
    <w:rsid w:val="68931D4F"/>
    <w:rsid w:val="68A33FC6"/>
    <w:rsid w:val="68C6406F"/>
    <w:rsid w:val="6A1638AD"/>
    <w:rsid w:val="6B4551DF"/>
    <w:rsid w:val="6B9E2823"/>
    <w:rsid w:val="6C992C34"/>
    <w:rsid w:val="6CA95923"/>
    <w:rsid w:val="6D756958"/>
    <w:rsid w:val="6F49540D"/>
    <w:rsid w:val="6FC23285"/>
    <w:rsid w:val="718B3849"/>
    <w:rsid w:val="7377015A"/>
    <w:rsid w:val="739D2BFF"/>
    <w:rsid w:val="74261339"/>
    <w:rsid w:val="754E288C"/>
    <w:rsid w:val="75A62E64"/>
    <w:rsid w:val="75BB53FD"/>
    <w:rsid w:val="75E96582"/>
    <w:rsid w:val="76470CAA"/>
    <w:rsid w:val="764D1082"/>
    <w:rsid w:val="766F2799"/>
    <w:rsid w:val="773B6256"/>
    <w:rsid w:val="7ABC4940"/>
    <w:rsid w:val="7D07233B"/>
    <w:rsid w:val="7D40391F"/>
    <w:rsid w:val="7DD5517C"/>
    <w:rsid w:val="7DF96BCA"/>
    <w:rsid w:val="7E1251F4"/>
    <w:rsid w:val="7E6416AA"/>
    <w:rsid w:val="7EE66F59"/>
    <w:rsid w:val="7F1A6E76"/>
    <w:rsid w:val="7F1F783D"/>
    <w:rsid w:val="7FAF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1" w:semiHidden="0" w:name="heading 3"/>
    <w:lsdException w:qFormat="1" w:uiPriority="1" w:semiHidden="0" w:name="heading 4"/>
    <w:lsdException w:qFormat="1" w:uiPriority="1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Courier New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1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5">
    <w:name w:val="heading 2"/>
    <w:basedOn w:val="1"/>
    <w:next w:val="1"/>
    <w:link w:val="30"/>
    <w:qFormat/>
    <w:uiPriority w:val="1"/>
    <w:pPr>
      <w:keepNext/>
      <w:keepLines/>
      <w:adjustRightInd w:val="0"/>
      <w:snapToGrid w:val="0"/>
      <w:spacing w:before="260" w:after="260" w:line="416" w:lineRule="auto"/>
      <w:ind w:firstLine="600" w:firstLineChars="200"/>
      <w:outlineLvl w:val="1"/>
    </w:pPr>
    <w:rPr>
      <w:rFonts w:ascii="Arial" w:hAnsi="Arial" w:eastAsia="Symbol"/>
      <w:b/>
      <w:bCs/>
      <w:sz w:val="32"/>
      <w:szCs w:val="32"/>
    </w:rPr>
  </w:style>
  <w:style w:type="paragraph" w:styleId="6">
    <w:name w:val="heading 3"/>
    <w:basedOn w:val="1"/>
    <w:next w:val="1"/>
    <w:unhideWhenUsed/>
    <w:qFormat/>
    <w:uiPriority w:val="1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7">
    <w:name w:val="heading 4"/>
    <w:basedOn w:val="1"/>
    <w:next w:val="1"/>
    <w:link w:val="35"/>
    <w:unhideWhenUsed/>
    <w:qFormat/>
    <w:uiPriority w:val="1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8">
    <w:name w:val="heading 5"/>
    <w:basedOn w:val="1"/>
    <w:next w:val="1"/>
    <w:link w:val="33"/>
    <w:unhideWhenUsed/>
    <w:qFormat/>
    <w:uiPriority w:val="1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19">
    <w:name w:val="Default Paragraph Font"/>
    <w:semiHidden/>
    <w:unhideWhenUsed/>
    <w:uiPriority w:val="1"/>
  </w:style>
  <w:style w:type="table" w:default="1" w:styleId="2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  <w:jc w:val="left"/>
    </w:pPr>
    <w:rPr>
      <w:rFonts w:hint="eastAsia" w:ascii="宋体" w:hAnsi="宋体" w:eastAsia="宋体"/>
      <w:kern w:val="0"/>
      <w:sz w:val="24"/>
      <w:szCs w:val="24"/>
    </w:rPr>
  </w:style>
  <w:style w:type="paragraph" w:styleId="9">
    <w:name w:val="annotation subject"/>
    <w:basedOn w:val="10"/>
    <w:next w:val="10"/>
    <w:link w:val="27"/>
    <w:semiHidden/>
    <w:unhideWhenUsed/>
    <w:qFormat/>
    <w:uiPriority w:val="99"/>
    <w:rPr>
      <w:b/>
      <w:bCs/>
    </w:rPr>
  </w:style>
  <w:style w:type="paragraph" w:styleId="10">
    <w:name w:val="annotation text"/>
    <w:basedOn w:val="1"/>
    <w:link w:val="26"/>
    <w:unhideWhenUsed/>
    <w:qFormat/>
    <w:uiPriority w:val="99"/>
    <w:pPr>
      <w:jc w:val="left"/>
    </w:pPr>
  </w:style>
  <w:style w:type="paragraph" w:styleId="11">
    <w:name w:val="Normal Indent"/>
    <w:basedOn w:val="1"/>
    <w:next w:val="12"/>
    <w:qFormat/>
    <w:uiPriority w:val="0"/>
    <w:pPr>
      <w:spacing w:line="360" w:lineRule="auto"/>
      <w:ind w:firstLine="420" w:firstLineChars="200"/>
      <w:jc w:val="left"/>
    </w:pPr>
    <w:rPr>
      <w:rFonts w:ascii="仿宋_GB2312" w:hAnsi="Arial" w:eastAsia="仿宋_GB2312"/>
      <w:kern w:val="0"/>
      <w:sz w:val="30"/>
      <w:szCs w:val="30"/>
    </w:rPr>
  </w:style>
  <w:style w:type="paragraph" w:styleId="12">
    <w:name w:val="Body Text"/>
    <w:basedOn w:val="1"/>
    <w:link w:val="34"/>
    <w:unhideWhenUsed/>
    <w:qFormat/>
    <w:uiPriority w:val="1"/>
    <w:pPr>
      <w:spacing w:after="120"/>
    </w:pPr>
  </w:style>
  <w:style w:type="paragraph" w:styleId="13">
    <w:name w:val="Balloon Text"/>
    <w:basedOn w:val="1"/>
    <w:link w:val="36"/>
    <w:semiHidden/>
    <w:unhideWhenUsed/>
    <w:qFormat/>
    <w:uiPriority w:val="99"/>
    <w:rPr>
      <w:sz w:val="18"/>
      <w:szCs w:val="18"/>
    </w:rPr>
  </w:style>
  <w:style w:type="paragraph" w:styleId="14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15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6">
    <w:name w:val="toc 1"/>
    <w:basedOn w:val="1"/>
    <w:next w:val="1"/>
    <w:unhideWhenUsed/>
    <w:qFormat/>
    <w:uiPriority w:val="39"/>
    <w:pPr>
      <w:tabs>
        <w:tab w:val="right" w:leader="dot" w:pos="8714"/>
      </w:tabs>
      <w:spacing w:before="60" w:line="360" w:lineRule="auto"/>
      <w:ind w:left="200" w:leftChars="200"/>
      <w:jc w:val="left"/>
    </w:pPr>
    <w:rPr>
      <w:rFonts w:eastAsia="Helvetica" w:cs="Courier"/>
      <w:bCs/>
      <w:caps/>
      <w:sz w:val="30"/>
      <w:szCs w:val="20"/>
    </w:rPr>
  </w:style>
  <w:style w:type="paragraph" w:styleId="17">
    <w:name w:val="Subtitle"/>
    <w:basedOn w:val="1"/>
    <w:next w:val="1"/>
    <w:link w:val="29"/>
    <w:qFormat/>
    <w:uiPriority w:val="11"/>
    <w:pPr>
      <w:spacing w:before="240" w:after="60" w:line="312" w:lineRule="auto"/>
      <w:jc w:val="center"/>
      <w:outlineLvl w:val="1"/>
    </w:pPr>
    <w:rPr>
      <w:rFonts w:asciiTheme="minorHAnsi" w:hAnsiTheme="minorHAnsi" w:eastAsiaTheme="minorEastAsia" w:cstheme="minorBidi"/>
      <w:b/>
      <w:bCs/>
      <w:kern w:val="28"/>
      <w:sz w:val="32"/>
      <w:szCs w:val="32"/>
    </w:rPr>
  </w:style>
  <w:style w:type="paragraph" w:styleId="18">
    <w:name w:val="toc 2"/>
    <w:basedOn w:val="1"/>
    <w:next w:val="1"/>
    <w:unhideWhenUsed/>
    <w:qFormat/>
    <w:uiPriority w:val="39"/>
    <w:pPr>
      <w:tabs>
        <w:tab w:val="right" w:leader="dot" w:pos="8714"/>
      </w:tabs>
      <w:spacing w:line="360" w:lineRule="auto"/>
      <w:ind w:left="350" w:leftChars="350"/>
      <w:jc w:val="left"/>
    </w:pPr>
    <w:rPr>
      <w:rFonts w:eastAsia="Tms Rmn" w:cs="Courier"/>
      <w:smallCaps/>
      <w:sz w:val="30"/>
      <w:szCs w:val="20"/>
    </w:rPr>
  </w:style>
  <w:style w:type="character" w:styleId="20">
    <w:name w:val="Hyperlink"/>
    <w:basedOn w:val="1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1">
    <w:name w:val="annotation reference"/>
    <w:basedOn w:val="19"/>
    <w:unhideWhenUsed/>
    <w:qFormat/>
    <w:uiPriority w:val="99"/>
    <w:rPr>
      <w:sz w:val="21"/>
      <w:szCs w:val="21"/>
    </w:rPr>
  </w:style>
  <w:style w:type="table" w:styleId="23">
    <w:name w:val="Table Grid"/>
    <w:basedOn w:val="2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页眉 Char"/>
    <w:basedOn w:val="19"/>
    <w:link w:val="15"/>
    <w:qFormat/>
    <w:uiPriority w:val="99"/>
    <w:rPr>
      <w:sz w:val="18"/>
      <w:szCs w:val="18"/>
    </w:rPr>
  </w:style>
  <w:style w:type="character" w:customStyle="1" w:styleId="25">
    <w:name w:val="页脚 Char"/>
    <w:basedOn w:val="19"/>
    <w:link w:val="14"/>
    <w:qFormat/>
    <w:uiPriority w:val="99"/>
    <w:rPr>
      <w:sz w:val="18"/>
      <w:szCs w:val="18"/>
    </w:rPr>
  </w:style>
  <w:style w:type="character" w:customStyle="1" w:styleId="26">
    <w:name w:val="批注文字 Char"/>
    <w:basedOn w:val="19"/>
    <w:link w:val="10"/>
    <w:qFormat/>
    <w:uiPriority w:val="99"/>
    <w:rPr>
      <w:rFonts w:ascii="Times New Roman" w:hAnsi="Times New Roman" w:eastAsia="Courier New" w:cs="Times New Roman"/>
      <w:szCs w:val="21"/>
    </w:rPr>
  </w:style>
  <w:style w:type="character" w:customStyle="1" w:styleId="27">
    <w:name w:val="批注主题 Char"/>
    <w:basedOn w:val="26"/>
    <w:link w:val="9"/>
    <w:semiHidden/>
    <w:qFormat/>
    <w:uiPriority w:val="99"/>
    <w:rPr>
      <w:rFonts w:ascii="Times New Roman" w:hAnsi="Times New Roman" w:eastAsia="Courier New" w:cs="Times New Roman"/>
      <w:b/>
      <w:bCs/>
      <w:szCs w:val="21"/>
    </w:rPr>
  </w:style>
  <w:style w:type="paragraph" w:customStyle="1" w:styleId="28">
    <w:name w:val="独立格式"/>
    <w:basedOn w:val="17"/>
    <w:qFormat/>
    <w:uiPriority w:val="1"/>
    <w:pPr>
      <w:spacing w:before="0" w:after="0" w:line="360" w:lineRule="auto"/>
      <w:outlineLvl w:val="9"/>
    </w:pPr>
    <w:rPr>
      <w:rFonts w:ascii="Times New Roman" w:hAnsi="Times New Roman" w:eastAsia="Tms Rmn" w:cs="Times New Roman"/>
      <w:b w:val="0"/>
      <w:bCs w:val="0"/>
      <w:kern w:val="2"/>
      <w:szCs w:val="52"/>
    </w:rPr>
  </w:style>
  <w:style w:type="character" w:customStyle="1" w:styleId="29">
    <w:name w:val="副标题 Char"/>
    <w:basedOn w:val="19"/>
    <w:link w:val="17"/>
    <w:qFormat/>
    <w:uiPriority w:val="11"/>
    <w:rPr>
      <w:b/>
      <w:bCs/>
      <w:kern w:val="28"/>
      <w:sz w:val="32"/>
      <w:szCs w:val="32"/>
    </w:rPr>
  </w:style>
  <w:style w:type="character" w:customStyle="1" w:styleId="30">
    <w:name w:val="标题 2 Char"/>
    <w:basedOn w:val="19"/>
    <w:link w:val="5"/>
    <w:qFormat/>
    <w:uiPriority w:val="9"/>
    <w:rPr>
      <w:rFonts w:ascii="Arial" w:hAnsi="Arial" w:eastAsia="Symbol" w:cs="Times New Roman"/>
      <w:b/>
      <w:bCs/>
      <w:sz w:val="32"/>
      <w:szCs w:val="32"/>
    </w:rPr>
  </w:style>
  <w:style w:type="paragraph" w:customStyle="1" w:styleId="31">
    <w:name w:val="表格名称"/>
    <w:basedOn w:val="1"/>
    <w:qFormat/>
    <w:uiPriority w:val="0"/>
    <w:pPr>
      <w:spacing w:line="360" w:lineRule="auto"/>
      <w:jc w:val="center"/>
    </w:pPr>
    <w:rPr>
      <w:rFonts w:eastAsia="Helv" w:cs="New York"/>
      <w:b/>
      <w:sz w:val="24"/>
      <w:szCs w:val="24"/>
    </w:rPr>
  </w:style>
  <w:style w:type="paragraph" w:customStyle="1" w:styleId="32">
    <w:name w:val="表格文字"/>
    <w:basedOn w:val="28"/>
    <w:next w:val="1"/>
    <w:qFormat/>
    <w:uiPriority w:val="0"/>
    <w:pPr>
      <w:spacing w:line="360" w:lineRule="exact"/>
    </w:pPr>
    <w:rPr>
      <w:rFonts w:eastAsia="Helv" w:cs="New York"/>
      <w:sz w:val="24"/>
    </w:rPr>
  </w:style>
  <w:style w:type="character" w:customStyle="1" w:styleId="33">
    <w:name w:val="标题 5 Char"/>
    <w:basedOn w:val="19"/>
    <w:link w:val="8"/>
    <w:semiHidden/>
    <w:qFormat/>
    <w:uiPriority w:val="9"/>
    <w:rPr>
      <w:rFonts w:ascii="Times New Roman" w:hAnsi="Times New Roman" w:eastAsia="Courier New" w:cs="Times New Roman"/>
      <w:b/>
      <w:bCs/>
      <w:sz w:val="28"/>
      <w:szCs w:val="28"/>
    </w:rPr>
  </w:style>
  <w:style w:type="character" w:customStyle="1" w:styleId="34">
    <w:name w:val="正文文本 Char"/>
    <w:basedOn w:val="19"/>
    <w:link w:val="12"/>
    <w:semiHidden/>
    <w:qFormat/>
    <w:uiPriority w:val="99"/>
    <w:rPr>
      <w:rFonts w:ascii="Times New Roman" w:hAnsi="Times New Roman" w:eastAsia="Courier New" w:cs="Times New Roman"/>
      <w:szCs w:val="21"/>
    </w:rPr>
  </w:style>
  <w:style w:type="character" w:customStyle="1" w:styleId="35">
    <w:name w:val="标题 4 Char"/>
    <w:basedOn w:val="19"/>
    <w:link w:val="7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36">
    <w:name w:val="批注框文本 Char"/>
    <w:basedOn w:val="19"/>
    <w:link w:val="13"/>
    <w:semiHidden/>
    <w:qFormat/>
    <w:uiPriority w:val="99"/>
    <w:rPr>
      <w:rFonts w:ascii="Times New Roman" w:hAnsi="Times New Roman" w:eastAsia="Courier New" w:cs="Times New Roman"/>
      <w:kern w:val="2"/>
      <w:sz w:val="18"/>
      <w:szCs w:val="18"/>
    </w:rPr>
  </w:style>
  <w:style w:type="table" w:customStyle="1" w:styleId="37">
    <w:name w:val="Table Normal"/>
    <w:semiHidden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38">
    <w:name w:val="List Paragraph"/>
    <w:basedOn w:val="1"/>
    <w:qFormat/>
    <w:uiPriority w:val="1"/>
    <w:pPr>
      <w:autoSpaceDE w:val="0"/>
      <w:autoSpaceDN w:val="0"/>
      <w:ind w:left="109" w:right="99" w:firstLine="641"/>
      <w:jc w:val="left"/>
    </w:pPr>
    <w:rPr>
      <w:rFonts w:ascii="Arial Unicode MS" w:hAnsi="Arial Unicode MS" w:eastAsia="Arial Unicode MS" w:cs="Arial Unicode MS"/>
      <w:kern w:val="0"/>
      <w:sz w:val="22"/>
      <w:szCs w:val="22"/>
      <w:lang w:eastAsia="en-US"/>
    </w:rPr>
  </w:style>
  <w:style w:type="paragraph" w:customStyle="1" w:styleId="39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4A22012-095F-4708-AE4E-50027285FA5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281</Words>
  <Characters>1607</Characters>
  <Lines>13</Lines>
  <Paragraphs>3</Paragraphs>
  <TotalTime>2</TotalTime>
  <ScaleCrop>false</ScaleCrop>
  <LinksUpToDate>false</LinksUpToDate>
  <CharactersWithSpaces>1885</CharactersWithSpaces>
  <Application>WPS Office_11.1.0.7989_F1E327BC-269C-435d-A152-05C5408002CA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2021-11-01T08:43:00Z</dcterms:created>
  <dc:creator>Richard Meng</dc:creator>
  <cp:lastModifiedBy>windows7</cp:lastModifiedBy>
  <cp:lastPrinted>2022-03-30T01:10:00Z</cp:lastPrinted>
  <dcterms:modified xsi:type="dcterms:W3CDTF">2022-11-24T06:04:34Z</dcterms:modified>
  <cp:revision>1200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2052-11.1.0.7989</vt:lpwstr>
  </property>
  <property fmtid="{D5CDD505-2E9C-101B-9397-08002B2CF9AE}" pid="3" name="ICV">
    <vt:lpwstr>D01B5B60E3BA4123A53948E7047D96F9</vt:lpwstr>
  </property>
  <property fmtid="{D5CDD505-2E9C-101B-9397-08002B2CF9AE}" pid="4" name="commondata">
    <vt:lpwstr>eyJoZGlkIjoiMDUyZTZiOWNhNTRkM2JiNDQwZWRmZDZjZTIwNDhiY2IifQ==</vt:lpwstr>
  </property>
</Properties>
</file>